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0" w:lineRule="atLeast"/>
        <w:jc w:val="center"/>
        <w:rPr>
          <w:rFonts w:hint="eastAsia" w:ascii="ＭＳ ゴシック" w:hAnsi="ＭＳ ゴシック" w:eastAsia="ＭＳ ゴシック"/>
          <w:b w:val="1"/>
          <w:color w:val="000000" w:themeColor="text1"/>
          <w:sz w:val="32"/>
        </w:rPr>
      </w:pPr>
      <w:r>
        <w:rPr>
          <w:rFonts w:hint="eastAsia" w:ascii="ＭＳ ゴシック" w:hAnsi="ＭＳ ゴシック" w:eastAsia="ＭＳ ゴシック"/>
          <w:b w:val="1"/>
          <w:color w:val="000000" w:themeColor="text1"/>
          <w:sz w:val="32"/>
        </w:rPr>
        <w:t>地域密着型サービス整備運営事業者募集要項</w:t>
      </w:r>
    </w:p>
    <w:p>
      <w:pPr>
        <w:pStyle w:val="0"/>
        <w:spacing w:line="0" w:lineRule="atLeast"/>
        <w:jc w:val="center"/>
        <w:rPr>
          <w:rFonts w:hint="eastAsia" w:ascii="ＭＳ ゴシック" w:hAnsi="ＭＳ ゴシック" w:eastAsia="ＭＳ ゴシック"/>
          <w:b w:val="1"/>
          <w:color w:val="000000" w:themeColor="text1"/>
          <w:sz w:val="32"/>
        </w:rPr>
      </w:pPr>
      <w:r>
        <w:rPr>
          <w:rFonts w:hint="eastAsia" w:ascii="ＭＳ ゴシック" w:hAnsi="ＭＳ ゴシック" w:eastAsia="ＭＳ ゴシック"/>
          <w:b w:val="1"/>
          <w:color w:val="000000" w:themeColor="text1"/>
          <w:sz w:val="32"/>
        </w:rPr>
        <w:t>（小規模多機能型居宅介護・看護小規模多機能型居宅介護）</w:t>
      </w:r>
    </w:p>
    <w:p>
      <w:pPr>
        <w:pStyle w:val="0"/>
        <w:rPr>
          <w:rFonts w:hint="eastAsia" w:ascii="ＭＳ ゴシック" w:hAnsi="ＭＳ ゴシック" w:eastAsia="ＭＳ ゴシック"/>
          <w:color w:val="000000" w:themeColor="text1"/>
        </w:rPr>
      </w:pPr>
    </w:p>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１　募集の趣旨</w:t>
      </w:r>
    </w:p>
    <w:p>
      <w:pPr>
        <w:pStyle w:val="0"/>
        <w:ind w:left="210" w:leftChars="1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廿日市市では、高齢者が介護を必要とする状態になっても、住み慣れた地域で安心して暮らせるよう、第９期介護保険事業計画（令和６年度～８年度）に基づき、地域密着型サービスを計画的に整備します。</w:t>
      </w:r>
    </w:p>
    <w:p>
      <w:pPr>
        <w:pStyle w:val="0"/>
        <w:ind w:left="210" w:leftChars="1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この募集は、新たに地域密着型サービスを整備運営する事業者（以下「</w:t>
      </w:r>
      <w:r>
        <w:rPr>
          <w:rFonts w:hint="eastAsia" w:ascii="ＭＳ ゴシック" w:hAnsi="ＭＳ ゴシック" w:eastAsia="ＭＳ ゴシック"/>
          <w:color w:val="auto"/>
          <w:highlight w:val="none"/>
        </w:rPr>
        <w:t>整備運営事業者</w:t>
      </w:r>
      <w:r>
        <w:rPr>
          <w:rFonts w:hint="eastAsia" w:ascii="ＭＳ ゴシック" w:hAnsi="ＭＳ ゴシック" w:eastAsia="ＭＳ ゴシック"/>
          <w:color w:val="000000" w:themeColor="text1"/>
        </w:rPr>
        <w:t>」という。）を選定するために行うものです。</w:t>
      </w:r>
    </w:p>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w:t>
      </w:r>
    </w:p>
    <w:tbl>
      <w:tblPr>
        <w:tblStyle w:val="44"/>
        <w:tblpPr w:leftFromText="0" w:rightFromText="0" w:topFromText="0" w:bottomFromText="0" w:vertAnchor="text" w:horzAnchor="margin" w:tblpX="134" w:tblpY="325"/>
        <w:tblOverlap w:val="never"/>
        <w:tblW w:w="0" w:type="auto"/>
        <w:tblLayout w:type="fixed"/>
        <w:tblLook w:firstRow="1" w:lastRow="0" w:firstColumn="1" w:lastColumn="0" w:noHBand="0" w:noVBand="1" w:val="04A0"/>
      </w:tblPr>
      <w:tblGrid>
        <w:gridCol w:w="3780"/>
        <w:gridCol w:w="1890"/>
        <w:gridCol w:w="1470"/>
        <w:gridCol w:w="1967"/>
      </w:tblGrid>
      <w:tr>
        <w:trPr/>
        <w:tc>
          <w:tcPr>
            <w:tcW w:w="3780"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募集するサービス</w:t>
            </w:r>
          </w:p>
        </w:tc>
        <w:tc>
          <w:tcPr>
            <w:tcW w:w="1890"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募集圏域</w:t>
            </w:r>
          </w:p>
        </w:tc>
        <w:tc>
          <w:tcPr>
            <w:tcW w:w="147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募集箇所数</w:t>
            </w:r>
          </w:p>
        </w:tc>
        <w:tc>
          <w:tcPr>
            <w:tcW w:w="1967"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開設時期</w:t>
            </w:r>
          </w:p>
        </w:tc>
      </w:tr>
      <w:tr>
        <w:trPr>
          <w:trHeight w:val="1170" w:hRule="atLeast"/>
        </w:trPr>
        <w:tc>
          <w:tcPr>
            <w:tcW w:w="3780" w:type="dxa"/>
            <w:vAlign w:val="center"/>
          </w:tcPr>
          <w:p>
            <w:pPr>
              <w:pStyle w:val="0"/>
              <w:rPr>
                <w:rFonts w:hint="eastAsia" w:ascii="ＭＳ ゴシック" w:hAnsi="ＭＳ ゴシック" w:eastAsia="ＭＳ ゴシック"/>
              </w:rPr>
            </w:pPr>
            <w:r>
              <w:rPr>
                <w:rFonts w:hint="eastAsia" w:ascii="ＭＳ ゴシック" w:hAnsi="ＭＳ ゴシック" w:eastAsia="ＭＳ ゴシック"/>
              </w:rPr>
              <w:t>小規模多機能型居宅介護</w:t>
            </w:r>
          </w:p>
          <w:p>
            <w:pPr>
              <w:pStyle w:val="0"/>
              <w:rPr>
                <w:rFonts w:hint="eastAsia" w:ascii="ＭＳ ゴシック" w:hAnsi="ＭＳ ゴシック" w:eastAsia="ＭＳ ゴシック"/>
              </w:rPr>
            </w:pPr>
            <w:r>
              <w:rPr>
                <w:rFonts w:hint="eastAsia" w:ascii="ＭＳ ゴシック" w:hAnsi="ＭＳ ゴシック" w:eastAsia="ＭＳ ゴシック"/>
              </w:rPr>
              <w:t>看護小規模多機能型居宅介護</w:t>
            </w:r>
          </w:p>
        </w:tc>
        <w:tc>
          <w:tcPr>
            <w:tcW w:w="1890" w:type="dxa"/>
            <w:vAlign w:val="center"/>
          </w:tcPr>
          <w:p>
            <w:pPr>
              <w:pStyle w:val="0"/>
              <w:rPr>
                <w:rFonts w:hint="eastAsia" w:ascii="ＭＳ ゴシック" w:hAnsi="ＭＳ ゴシック" w:eastAsia="ＭＳ ゴシック"/>
              </w:rPr>
            </w:pPr>
            <w:r>
              <w:rPr>
                <w:rFonts w:hint="eastAsia" w:ascii="ＭＳ ゴシック" w:hAnsi="ＭＳ ゴシック" w:eastAsia="ＭＳ ゴシック"/>
              </w:rPr>
              <w:t>廿日市西部、</w:t>
            </w:r>
          </w:p>
          <w:p>
            <w:pPr>
              <w:pStyle w:val="0"/>
              <w:rPr>
                <w:rFonts w:hint="eastAsia" w:ascii="ＭＳ ゴシック" w:hAnsi="ＭＳ ゴシック" w:eastAsia="ＭＳ ゴシック"/>
              </w:rPr>
            </w:pPr>
            <w:r>
              <w:rPr>
                <w:rFonts w:hint="eastAsia" w:ascii="ＭＳ ゴシック" w:hAnsi="ＭＳ ゴシック" w:eastAsia="ＭＳ ゴシック"/>
              </w:rPr>
              <w:t>佐伯又は大野</w:t>
            </w:r>
          </w:p>
        </w:tc>
        <w:tc>
          <w:tcPr>
            <w:tcW w:w="147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u w:val="double" w:color="auto"/>
              </w:rPr>
              <w:t>各１事業所</w:t>
            </w:r>
          </w:p>
        </w:tc>
        <w:tc>
          <w:tcPr>
            <w:tcW w:w="1967"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left"/>
              <w:rPr>
                <w:rFonts w:hint="eastAsia" w:ascii="ＭＳ ゴシック" w:hAnsi="ＭＳ ゴシック" w:eastAsia="ＭＳ ゴシック"/>
                <w:color w:val="auto"/>
              </w:rPr>
            </w:pPr>
            <w:r>
              <w:rPr>
                <w:rFonts w:hint="eastAsia" w:ascii="ＭＳ ゴシック" w:hAnsi="ＭＳ ゴシック" w:eastAsia="ＭＳ ゴシック"/>
                <w:color w:val="auto"/>
              </w:rPr>
              <w:t>令和９年４月１日までに開設</w:t>
            </w:r>
          </w:p>
        </w:tc>
      </w:tr>
    </w:tbl>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２　募集を行うサービス等</w:t>
      </w:r>
    </w:p>
    <w:p>
      <w:pPr>
        <w:pStyle w:val="0"/>
        <w:rPr>
          <w:rFonts w:hint="eastAsia" w:ascii="ＭＳ ゴシック" w:hAnsi="ＭＳ ゴシック" w:eastAsia="ＭＳ ゴシック"/>
          <w:b w:val="1"/>
          <w:color w:val="000000" w:themeColor="text1"/>
        </w:rPr>
      </w:pPr>
    </w:p>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３　応募要件</w:t>
      </w:r>
    </w:p>
    <w:p>
      <w:pPr>
        <w:pStyle w:val="0"/>
        <w:ind w:leftChars="0" w:hanging="210" w:hangingChars="10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　　</w:t>
      </w:r>
      <w:r>
        <w:rPr>
          <w:rFonts w:hint="eastAsia" w:ascii="ＭＳ ゴシック" w:hAnsi="ＭＳ ゴシック" w:eastAsia="ＭＳ ゴシック"/>
          <w:b w:val="0"/>
          <w:color w:val="000000" w:themeColor="text1"/>
        </w:rPr>
        <w:t>次の全ての要件を満たしていることが条件です。全てを満たしていない場合は欠格となり、選定の対象外となります。</w:t>
      </w:r>
    </w:p>
    <w:p>
      <w:pPr>
        <w:pStyle w:val="0"/>
        <w:ind w:leftChars="0" w:hanging="420" w:hangingChars="2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xml:space="preserve"> (1)</w:t>
      </w:r>
      <w:r>
        <w:rPr>
          <w:rFonts w:hint="eastAsia" w:ascii="ＭＳ ゴシック" w:hAnsi="ＭＳ ゴシック" w:eastAsia="ＭＳ ゴシック"/>
          <w:b w:val="0"/>
          <w:color w:val="000000" w:themeColor="text1"/>
        </w:rPr>
        <w:t>　介護保険法第７８条の２第４項各号に該当しない法人であること</w:t>
      </w:r>
      <w:r>
        <w:rPr>
          <w:rFonts w:hint="eastAsia" w:ascii="ＭＳ ゴシック" w:hAnsi="ＭＳ ゴシック" w:eastAsia="ＭＳ ゴシック"/>
          <w:b w:val="0"/>
          <w:color w:val="000000" w:themeColor="text1"/>
        </w:rPr>
        <w:t xml:space="preserve"> </w:t>
      </w:r>
      <w:r>
        <w:rPr>
          <w:rFonts w:hint="eastAsia" w:ascii="ＭＳ ゴシック" w:hAnsi="ＭＳ ゴシック" w:eastAsia="ＭＳ ゴシック"/>
          <w:b w:val="0"/>
          <w:color w:val="000000" w:themeColor="text1"/>
        </w:rPr>
        <w:t>。</w:t>
      </w:r>
    </w:p>
    <w:p>
      <w:pPr>
        <w:pStyle w:val="0"/>
        <w:ind w:leftChars="0" w:hanging="420" w:hangingChars="2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xml:space="preserve"> (2)</w:t>
      </w:r>
      <w:r>
        <w:rPr>
          <w:rFonts w:hint="eastAsia" w:ascii="ＭＳ ゴシック" w:hAnsi="ＭＳ ゴシック" w:eastAsia="ＭＳ ゴシック"/>
          <w:b w:val="0"/>
          <w:color w:val="000000" w:themeColor="text1"/>
        </w:rPr>
        <w:t>　廿日市市指定地域密着型サービスの事業の人員、設備及び運営に関する基準を定める条例（平成２４年条例第２７号）等介護保険関係の基準等を満たし、その他関連する法令等にも適合していること。</w:t>
      </w:r>
    </w:p>
    <w:p>
      <w:pPr>
        <w:pStyle w:val="0"/>
        <w:ind w:leftChars="0" w:hanging="420" w:hangingChars="2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xml:space="preserve"> (3)</w:t>
      </w:r>
      <w:r>
        <w:rPr>
          <w:rFonts w:hint="eastAsia" w:ascii="ＭＳ ゴシック" w:hAnsi="ＭＳ ゴシック" w:eastAsia="ＭＳ ゴシック"/>
          <w:b w:val="0"/>
          <w:color w:val="000000" w:themeColor="text1"/>
        </w:rPr>
        <w:t>　同法人（事業所）で施設の整備及び事業の運営を行うこと。</w:t>
      </w:r>
    </w:p>
    <w:p>
      <w:pPr>
        <w:pStyle w:val="0"/>
        <w:ind w:left="420" w:leftChars="50" w:hanging="315" w:hangingChars="15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(4)</w:t>
      </w:r>
      <w:r>
        <w:rPr>
          <w:rFonts w:hint="eastAsia" w:ascii="ＭＳ ゴシック" w:hAnsi="ＭＳ ゴシック" w:eastAsia="ＭＳ ゴシック"/>
          <w:b w:val="0"/>
          <w:color w:val="000000" w:themeColor="text1"/>
        </w:rPr>
        <w:t>　次の事項に該当していないこと。</w:t>
      </w:r>
    </w:p>
    <w:p>
      <w:pPr>
        <w:pStyle w:val="0"/>
        <w:ind w:left="420" w:leftChars="200" w:firstLine="0" w:firstLineChars="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①　市税を滞納している者</w:t>
      </w:r>
    </w:p>
    <w:p>
      <w:pPr>
        <w:pStyle w:val="0"/>
        <w:ind w:left="630" w:leftChars="200" w:hanging="210" w:hangingChars="1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②　地方自治法施行令（昭和２２年政令第１６号。以下「施行令」という。）第１６７条の４第１項の規定に該当する者</w:t>
      </w:r>
    </w:p>
    <w:p>
      <w:pPr>
        <w:pStyle w:val="0"/>
        <w:ind w:left="630" w:leftChars="200" w:hanging="210" w:hangingChars="1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③　施行令第１６７条の４第２項各号の規定に該当する者で、当該事実があった日から２年を経過していない者</w:t>
      </w:r>
    </w:p>
    <w:p>
      <w:pPr>
        <w:pStyle w:val="0"/>
        <w:ind w:left="0" w:leftChars="0" w:hanging="630" w:hangingChars="3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④　無差別大量殺人行為を行った団体の規制に関する法律（平成１１年法律第１４７号）の適用を受ける団体</w:t>
      </w:r>
    </w:p>
    <w:p>
      <w:pPr>
        <w:pStyle w:val="0"/>
        <w:ind w:left="0" w:leftChars="0" w:hanging="630" w:hangingChars="3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⑤　暴力団員による不当な行為の防止等に関する法律（平成３年法律第７７号）第２条第２号又は第６号に該当する者、広島県暴力団排除条例（平成２２年広島県条例第３７号）第１９条第３項の規定による公表が現に行われている者及び暴力団又は暴力団員と密接な関係を有する者</w:t>
      </w:r>
    </w:p>
    <w:p>
      <w:pPr>
        <w:pStyle w:val="0"/>
        <w:ind w:leftChars="0" w:hanging="420" w:hangingChars="2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xml:space="preserve"> </w:t>
      </w:r>
    </w:p>
    <w:p>
      <w:pPr>
        <w:pStyle w:val="0"/>
        <w:ind w:left="422" w:hanging="422" w:hangingChars="20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４　応募手続</w:t>
      </w:r>
    </w:p>
    <w:p>
      <w:pPr>
        <w:pStyle w:val="0"/>
        <w:ind w:leftChars="0" w:firstLine="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(1)</w:t>
      </w:r>
      <w:r>
        <w:rPr>
          <w:rFonts w:hint="eastAsia" w:ascii="ＭＳ ゴシック" w:hAnsi="ＭＳ ゴシック" w:eastAsia="ＭＳ ゴシック"/>
          <w:color w:val="000000" w:themeColor="text1"/>
        </w:rPr>
        <w:t>　応募書類の提出</w:t>
      </w:r>
    </w:p>
    <w:p>
      <w:pPr>
        <w:pStyle w:val="0"/>
        <w:ind w:leftChars="0" w:hanging="420" w:hangingChars="200"/>
        <w:rPr>
          <w:rFonts w:hint="eastAsia" w:ascii="ＭＳ ゴシック" w:hAnsi="ＭＳ ゴシック" w:eastAsia="ＭＳ ゴシック"/>
          <w:color w:val="auto"/>
        </w:rPr>
      </w:pPr>
      <w:r>
        <w:rPr>
          <w:rFonts w:hint="eastAsia" w:ascii="ＭＳ ゴシック" w:hAnsi="ＭＳ ゴシック" w:eastAsia="ＭＳ ゴシック"/>
          <w:color w:val="000000" w:themeColor="text1"/>
        </w:rPr>
        <w:t>　　　本公募の応募者は、受付期間中に、電話等であらかじめ予約の上、応募書類を直接持参し</w:t>
      </w:r>
      <w:r>
        <w:rPr>
          <w:rFonts w:hint="eastAsia" w:ascii="ＭＳ ゴシック" w:hAnsi="ＭＳ ゴシック" w:eastAsia="ＭＳ ゴシック"/>
          <w:color w:val="auto"/>
        </w:rPr>
        <w:t>てください。（原則、郵送等での提出は受け付けません。）</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提出時には、添付書類の不足、所定様式への記載漏れ等の形式審査のみ行います。一度提出された書類は返却しませんのでご了承ください。</w:t>
      </w:r>
    </w:p>
    <w:p>
      <w:pPr>
        <w:pStyle w:val="0"/>
        <w:ind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(2)  </w:t>
      </w:r>
      <w:r>
        <w:rPr>
          <w:rFonts w:hint="eastAsia" w:ascii="ＭＳ ゴシック" w:hAnsi="ＭＳ ゴシック" w:eastAsia="ＭＳ ゴシック"/>
          <w:color w:val="auto"/>
        </w:rPr>
        <w:t>受付期間及び受付場所</w:t>
      </w:r>
    </w:p>
    <w:tbl>
      <w:tblPr>
        <w:tblStyle w:val="44"/>
        <w:tblW w:w="0" w:type="auto"/>
        <w:tblInd w:w="415" w:type="dxa"/>
        <w:tblLayout w:type="fixed"/>
        <w:tblLook w:firstRow="1" w:lastRow="0" w:firstColumn="1" w:lastColumn="0" w:noHBand="0" w:noVBand="1" w:val="04A0"/>
      </w:tblPr>
      <w:tblGrid>
        <w:gridCol w:w="1890"/>
        <w:gridCol w:w="6765"/>
      </w:tblGrid>
      <w:tr>
        <w:trPr/>
        <w:tc>
          <w:tcPr>
            <w:tcW w:w="1890" w:type="dxa"/>
            <w:vAlign w:val="center"/>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受付期間</w:t>
            </w:r>
          </w:p>
        </w:tc>
        <w:tc>
          <w:tcPr>
            <w:tcW w:w="6765"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常時公募（随時受付）</w:t>
            </w:r>
          </w:p>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閉庁日（土・日・祝日）を除く。</w:t>
            </w:r>
          </w:p>
        </w:tc>
      </w:tr>
      <w:tr>
        <w:trPr/>
        <w:tc>
          <w:tcPr>
            <w:tcW w:w="1890" w:type="dxa"/>
            <w:vAlign w:val="center"/>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受付時間</w:t>
            </w:r>
          </w:p>
        </w:tc>
        <w:tc>
          <w:tcPr>
            <w:tcW w:w="6765"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９時から１６時まで</w:t>
            </w:r>
          </w:p>
        </w:tc>
      </w:tr>
      <w:tr>
        <w:trPr/>
        <w:tc>
          <w:tcPr>
            <w:tcW w:w="1890" w:type="dxa"/>
            <w:vAlign w:val="center"/>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受付場所</w:t>
            </w:r>
          </w:p>
        </w:tc>
        <w:tc>
          <w:tcPr>
            <w:tcW w:w="6765"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〒７３８－８５１２　廿日市市新宮一丁目１３番１号</w:t>
            </w:r>
          </w:p>
          <w:p>
            <w:pPr>
              <w:pStyle w:val="0"/>
              <w:ind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廿日市市健康福祉部高齢介護課　介護保険係</w:t>
            </w:r>
          </w:p>
          <w:p>
            <w:pPr>
              <w:pStyle w:val="0"/>
              <w:ind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（山崎本社みんなのあいプラザ３階）</w:t>
            </w:r>
          </w:p>
        </w:tc>
      </w:tr>
    </w:tbl>
    <w:p>
      <w:pPr>
        <w:pStyle w:val="0"/>
        <w:ind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(3)</w:t>
      </w:r>
      <w:r>
        <w:rPr>
          <w:rFonts w:hint="eastAsia" w:ascii="ＭＳ ゴシック" w:hAnsi="ＭＳ ゴシック" w:eastAsia="ＭＳ ゴシック"/>
          <w:color w:val="auto"/>
        </w:rPr>
        <w:t>　提出書類の修正及び追加資料等の提出依頼</w:t>
      </w:r>
    </w:p>
    <w:p>
      <w:pPr>
        <w:pStyle w:val="0"/>
        <w:ind w:left="0"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auto"/>
        </w:rPr>
        <w:t>　　　応募書類について審査判定上の疑義が生じたときは、内容についての確認や応募書類の修正を依頼する場合</w:t>
      </w:r>
      <w:r>
        <w:rPr>
          <w:rFonts w:hint="eastAsia" w:ascii="ＭＳ ゴシック" w:hAnsi="ＭＳ ゴシック" w:eastAsia="ＭＳ ゴシック"/>
          <w:color w:val="000000" w:themeColor="text1"/>
        </w:rPr>
        <w:t>があります。また、追加資料等の提出を求める場合がありますので、あらかじめご了承ください。</w:t>
      </w:r>
    </w:p>
    <w:p>
      <w:pPr>
        <w:pStyle w:val="0"/>
        <w:ind w:leftChars="0" w:firstLine="0" w:firstLineChars="0"/>
        <w:rPr>
          <w:rFonts w:hint="eastAsia" w:ascii="ＭＳ ゴシック" w:hAnsi="ＭＳ ゴシック" w:eastAsia="ＭＳ ゴシック"/>
          <w:color w:val="000000" w:themeColor="text1"/>
        </w:rPr>
      </w:pPr>
    </w:p>
    <w:p>
      <w:pPr>
        <w:pStyle w:val="0"/>
        <w:ind w:leftChars="0" w:firstLine="0" w:firstLineChars="0"/>
        <w:rPr>
          <w:rFonts w:hint="eastAsia" w:ascii="ＭＳ ゴシック" w:hAnsi="ＭＳ ゴシック" w:eastAsia="ＭＳ ゴシック"/>
          <w:color w:val="FF0000"/>
        </w:rPr>
      </w:pPr>
      <w:r>
        <w:rPr>
          <w:rFonts w:hint="eastAsia" w:ascii="ＭＳ ゴシック" w:hAnsi="ＭＳ ゴシック" w:eastAsia="ＭＳ ゴシック"/>
          <w:b w:val="1"/>
          <w:color w:val="000000" w:themeColor="text1"/>
        </w:rPr>
        <w:t>５</w:t>
      </w:r>
      <w:r>
        <w:rPr>
          <w:rFonts w:hint="eastAsia" w:ascii="ＭＳ ゴシック" w:hAnsi="ＭＳ ゴシック" w:eastAsia="ＭＳ ゴシック"/>
          <w:b w:val="1"/>
          <w:color w:val="000000" w:themeColor="text1"/>
        </w:rPr>
        <w:t xml:space="preserve">  </w:t>
      </w:r>
      <w:r>
        <w:rPr>
          <w:rFonts w:hint="eastAsia" w:ascii="ＭＳ ゴシック" w:hAnsi="ＭＳ ゴシック" w:eastAsia="ＭＳ ゴシック"/>
          <w:b w:val="1"/>
          <w:color w:val="000000" w:themeColor="text1"/>
        </w:rPr>
        <w:t>応募書類</w:t>
      </w:r>
    </w:p>
    <w:p>
      <w:pPr>
        <w:pStyle w:val="0"/>
        <w:ind w:leftChars="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(1)</w:t>
      </w:r>
      <w:r>
        <w:rPr>
          <w:rFonts w:hint="eastAsia" w:ascii="ＭＳ ゴシック" w:hAnsi="ＭＳ ゴシック" w:eastAsia="ＭＳ ゴシック"/>
          <w:color w:val="auto"/>
        </w:rPr>
        <w:t>　提出書類一覧のとおり。</w:t>
      </w:r>
    </w:p>
    <w:p>
      <w:pPr>
        <w:pStyle w:val="0"/>
        <w:ind w:leftChars="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(2)</w:t>
      </w:r>
      <w:r>
        <w:rPr>
          <w:rFonts w:hint="eastAsia" w:ascii="ＭＳ ゴシック" w:hAnsi="ＭＳ ゴシック" w:eastAsia="ＭＳ ゴシック"/>
          <w:color w:val="auto"/>
        </w:rPr>
        <w:t>　提出部数</w:t>
      </w:r>
    </w:p>
    <w:p>
      <w:pPr>
        <w:pStyle w:val="0"/>
        <w:ind w:leftChars="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①　正本１部</w:t>
      </w:r>
    </w:p>
    <w:p>
      <w:pPr>
        <w:pStyle w:val="0"/>
        <w:ind w:left="0" w:leftChars="0" w:firstLine="420" w:firstLineChars="200"/>
        <w:rPr>
          <w:rFonts w:hint="eastAsia" w:ascii="ＭＳ ゴシック" w:hAnsi="ＭＳ ゴシック" w:eastAsia="ＭＳ ゴシック"/>
          <w:color w:val="auto"/>
        </w:rPr>
      </w:pPr>
      <w:r>
        <w:rPr>
          <w:rFonts w:hint="eastAsia" w:ascii="ＭＳ ゴシック" w:hAnsi="ＭＳ ゴシック" w:eastAsia="ＭＳ ゴシック"/>
          <w:color w:val="auto"/>
        </w:rPr>
        <w:t>②　副本１０部</w:t>
      </w:r>
    </w:p>
    <w:p>
      <w:pPr>
        <w:pStyle w:val="0"/>
        <w:ind w:left="0" w:leftChars="0" w:firstLine="420" w:firstLineChars="200"/>
        <w:rPr>
          <w:rFonts w:hint="eastAsia" w:ascii="ＭＳ ゴシック" w:hAnsi="ＭＳ ゴシック" w:eastAsia="ＭＳ ゴシック"/>
          <w:color w:val="auto"/>
        </w:rPr>
      </w:pPr>
      <w:r>
        <w:rPr>
          <w:rFonts w:hint="eastAsia" w:ascii="ＭＳ ゴシック" w:hAnsi="ＭＳ ゴシック" w:eastAsia="ＭＳ ゴシック"/>
          <w:color w:val="auto"/>
        </w:rPr>
        <w:t>③　正本及び副本の電子データを格納したＣＤ等</w:t>
      </w:r>
    </w:p>
    <w:p>
      <w:pPr>
        <w:pStyle w:val="0"/>
        <w:ind w:left="0" w:leftChars="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(3)</w:t>
      </w:r>
      <w:r>
        <w:rPr>
          <w:rFonts w:hint="eastAsia" w:ascii="ＭＳ ゴシック" w:hAnsi="ＭＳ ゴシック" w:eastAsia="ＭＳ ゴシック"/>
          <w:color w:val="auto"/>
        </w:rPr>
        <w:t>　応募書類の体裁及び注意点</w:t>
      </w:r>
    </w:p>
    <w:p>
      <w:pPr>
        <w:pStyle w:val="0"/>
        <w:ind w:left="0"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①　応募書類は原則Ａ４判としてください。図面などについてＡ３判を用いる場合は、三つ折りとし、Ａ４判サイズとなるようにしてください。</w:t>
      </w:r>
    </w:p>
    <w:p>
      <w:pPr>
        <w:pStyle w:val="0"/>
        <w:ind w:left="0"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②　応募書類はナンバー順に並べた上で一連のページ番号及び項目ごとにインデックスを付し、Ａ４判ファイルに綴ってください。</w:t>
      </w:r>
    </w:p>
    <w:p>
      <w:pPr>
        <w:pStyle w:val="0"/>
        <w:ind w:left="0"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③　応募書類の表紙に「地域密着型サービス（小規模多機能型居宅介護（又は看護小規模多機能型居宅介護））整備運営事業者開設提案書」と記載してください。正本には、これに加えて「応募事業者名」を記載してください。</w:t>
      </w:r>
    </w:p>
    <w:p>
      <w:pPr>
        <w:pStyle w:val="0"/>
        <w:ind w:left="630" w:leftChars="200" w:hanging="210" w:hangingChars="100"/>
        <w:rPr>
          <w:rFonts w:hint="eastAsia" w:ascii="ＭＳ ゴシック" w:hAnsi="ＭＳ ゴシック" w:eastAsia="ＭＳ ゴシック"/>
          <w:color w:val="FF0000"/>
        </w:rPr>
      </w:pPr>
      <w:r>
        <w:rPr>
          <w:rFonts w:hint="eastAsia" w:ascii="ＭＳ ゴシック" w:hAnsi="ＭＳ ゴシック" w:eastAsia="ＭＳ ゴシック"/>
          <w:color w:val="auto"/>
        </w:rPr>
        <w:t>④　副本の１０部については、審査判定に用いることから、公平性の観点により応募者が特定できないよう、法人名、法人名を類推させる事項等がある場合は黒塗りするなどしてください。ＷｏｒｄやＥｘｃｅｌ等で作成する書類の場合は、パソコン上で、該当部分を黒く塗りつぶす等の加工をお願いします。</w:t>
      </w:r>
    </w:p>
    <w:p>
      <w:pPr>
        <w:pStyle w:val="0"/>
        <w:ind w:left="630" w:leftChars="200" w:hanging="210" w:hangingChars="100"/>
        <w:rPr>
          <w:rFonts w:hint="eastAsia" w:ascii="ＭＳ ゴシック" w:hAnsi="ＭＳ ゴシック" w:eastAsia="ＭＳ ゴシック"/>
          <w:color w:val="FF0000"/>
        </w:rPr>
      </w:pPr>
      <w:r>
        <w:rPr>
          <w:rFonts w:hint="eastAsia" w:ascii="ＭＳ ゴシック" w:hAnsi="ＭＳ ゴシック" w:eastAsia="ＭＳ ゴシック"/>
          <w:color w:val="auto"/>
        </w:rPr>
        <w:t>（※黒塗りが薄く、法人名等が容易に見えてしまうケースが見られますので、必ず、確認の上提出してください。）</w:t>
      </w: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r>
        <w:rPr>
          <w:rFonts w:hint="eastAsia" w:ascii="ＭＳ ゴシック" w:hAnsi="ＭＳ ゴシック" w:eastAsia="ＭＳ ゴシック"/>
          <w:color w:val="auto"/>
        </w:rPr>
        <w:t>【提出書類一覧】</w:t>
      </w:r>
    </w:p>
    <w:tbl>
      <w:tblPr>
        <w:tblStyle w:val="11"/>
        <w:tblW w:w="4773" w:type="pct"/>
        <w:tblInd w:w="4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630"/>
        <w:gridCol w:w="3150"/>
        <w:gridCol w:w="1469"/>
        <w:gridCol w:w="3402"/>
      </w:tblGrid>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D9D9D9"/>
            <w:vAlign w:val="top"/>
          </w:tcPr>
          <w:p>
            <w:pPr>
              <w:pStyle w:val="0"/>
              <w:jc w:val="center"/>
              <w:rPr>
                <w:rFonts w:hint="eastAsia"/>
              </w:rPr>
            </w:pPr>
            <w:r>
              <w:rPr>
                <w:rFonts w:hint="eastAsia" w:ascii="ＭＳ ゴシック" w:hAnsi="ＭＳ ゴシック" w:eastAsia="ＭＳ ゴシック"/>
              </w:rPr>
              <w:t>№</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D9D9D9"/>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書　　類</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D9D9D9"/>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　式</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D9D9D9"/>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備　　　考</w:t>
            </w: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１</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応募申込書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様式１</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p>
        </w:tc>
      </w:tr>
      <w:tr>
        <w:trPr>
          <w:trHeight w:val="270"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２</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誓約書兼同意書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様式２</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rPr>
            </w:pPr>
          </w:p>
        </w:tc>
      </w:tr>
      <w:tr>
        <w:trPr>
          <w:trHeight w:val="270"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３</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法人登記事項証明書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３か月以内に発行されたもの</w:t>
            </w:r>
          </w:p>
        </w:tc>
      </w:tr>
      <w:tr>
        <w:trPr>
          <w:trHeight w:val="270"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４</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滞納がない証明書（市税）</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Chars="0" w:hanging="134" w:hangingChars="64"/>
              <w:rPr>
                <w:rFonts w:hint="eastAsia" w:ascii="ＭＳ ゴシック" w:hAnsi="ＭＳ ゴシック" w:eastAsia="ＭＳ ゴシック"/>
              </w:rPr>
            </w:pPr>
            <w:r>
              <w:rPr>
                <w:rFonts w:hint="eastAsia" w:ascii="ＭＳ ゴシック" w:hAnsi="ＭＳ ゴシック" w:eastAsia="ＭＳ ゴシック"/>
              </w:rPr>
              <w:t>１か月以内に発行されたもの</w:t>
            </w:r>
          </w:p>
        </w:tc>
      </w:tr>
      <w:tr>
        <w:trPr>
          <w:trHeight w:val="270"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５</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整備計画調書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様式３</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p>
        </w:tc>
      </w:tr>
      <w:tr>
        <w:trPr>
          <w:trHeight w:val="270"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６</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21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法人代表者・管理者経歴書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様式４</w:t>
            </w:r>
            <w:r>
              <w:rPr>
                <w:rFonts w:hint="eastAsia" w:ascii="ＭＳ ゴシック" w:hAnsi="ＭＳ ゴシック" w:eastAsia="ＭＳ ゴシック"/>
                <w:color w:val="000000" w:themeColor="text1"/>
              </w:rPr>
              <w:t>-</w:t>
            </w:r>
            <w:r>
              <w:rPr>
                <w:rFonts w:hint="eastAsia" w:ascii="ＭＳ ゴシック" w:hAnsi="ＭＳ ゴシック" w:eastAsia="ＭＳ ゴシック"/>
                <w:color w:val="000000" w:themeColor="text1"/>
              </w:rPr>
              <w:t>１</w:t>
            </w:r>
          </w:p>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様式４</w:t>
            </w:r>
            <w:r>
              <w:rPr>
                <w:rFonts w:hint="eastAsia" w:ascii="ＭＳ ゴシック" w:hAnsi="ＭＳ ゴシック" w:eastAsia="ＭＳ ゴシック"/>
                <w:color w:val="000000" w:themeColor="text1"/>
              </w:rPr>
              <w:t>-</w:t>
            </w:r>
            <w:r>
              <w:rPr>
                <w:rFonts w:hint="eastAsia" w:ascii="ＭＳ ゴシック" w:hAnsi="ＭＳ ゴシック" w:eastAsia="ＭＳ ゴシック"/>
                <w:color w:val="000000" w:themeColor="text1"/>
              </w:rPr>
              <w:t>２</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資格証等の写しを添付すること</w:t>
            </w:r>
          </w:p>
        </w:tc>
      </w:tr>
      <w:tr>
        <w:trPr>
          <w:trHeight w:val="965"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７</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事業予定の土地、建物に関する権利関係が確認できる書類</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・土地・建物登記事項証明書（全部事項）及び売買確約書写し</w:t>
            </w:r>
          </w:p>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・借地・借家の賃貸借確約書写し</w:t>
            </w:r>
          </w:p>
        </w:tc>
      </w:tr>
      <w:tr>
        <w:trPr>
          <w:trHeight w:val="965"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８</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財務諸表</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様式任意</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color w:val="000000" w:themeColor="text1"/>
              </w:rPr>
              <w:t>・直近３期分の決算書類</w:t>
            </w:r>
          </w:p>
          <w:p>
            <w:pPr>
              <w:pStyle w:val="0"/>
              <w:rPr>
                <w:rFonts w:hint="eastAsia" w:ascii="ＭＳ ゴシック" w:hAnsi="ＭＳ ゴシック" w:eastAsia="ＭＳ ゴシック"/>
              </w:rPr>
            </w:pPr>
            <w:r>
              <w:rPr>
                <w:rFonts w:hint="eastAsia" w:ascii="ＭＳ ゴシック" w:hAnsi="ＭＳ ゴシック" w:eastAsia="ＭＳ ゴシック"/>
                <w:color w:val="000000" w:themeColor="text1"/>
              </w:rPr>
              <w:t>・預金残高証明書及び融資見込み証明書（新規法人の場合）</w:t>
            </w: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９</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Chars="0" w:hanging="235" w:hangingChars="112"/>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事業スケジュール</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様式任意</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開設までの日程表を記載すること</w:t>
            </w: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10</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基本計画図面</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様式任意</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・事業予定所在地（周辺の地図も添付）、平面図（居室、トイレ、浴室等の内のり面積も記入）等の記載があるもの</w:t>
            </w:r>
          </w:p>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・土砂災害ポータルひろしま</w:t>
            </w:r>
          </w:p>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r>
              <w:rPr>
                <w:rFonts w:hint="eastAsia" w:ascii="ＭＳ ゴシック" w:hAnsi="ＭＳ ゴシック" w:eastAsia="ＭＳ ゴシック"/>
                <w:color w:val="000000" w:themeColor="text1"/>
              </w:rPr>
              <w:t>https://</w:t>
            </w:r>
            <w:r>
              <w:rPr>
                <w:rFonts w:hint="eastAsia" w:ascii="ＭＳ ゴシック" w:hAnsi="ＭＳ ゴシック" w:eastAsia="ＭＳ ゴシック"/>
                <w:color w:val="000000" w:themeColor="text1"/>
                <w:kern w:val="2"/>
                <w:sz w:val="20"/>
              </w:rPr>
              <w:t>www.sabo.pref.hiroshima.lg.jp</w:t>
            </w:r>
            <w:r>
              <w:rPr>
                <w:rFonts w:hint="eastAsia" w:ascii="ＭＳ ゴシック" w:hAnsi="ＭＳ ゴシック" w:eastAsia="ＭＳ ゴシック"/>
                <w:color w:val="000000" w:themeColor="text1"/>
              </w:rPr>
              <w:t>）から事業予定所在地周辺の「土砂災害警戒区域・特別警戒区域図」を取得し、Ａ４版で添付すること</w:t>
            </w: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11</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事業所運営の基本方針について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様式５</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12</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法令等の遵守について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様式６</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13</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運営実績</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様式７</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14</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人材確保・人材育成等について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様式８</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15</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当該サービスの管理運営について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様式９</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16</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利用者への対応について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様式１０</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17</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事業の適正な運営について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様式１１</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18</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地域連携について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様式１２</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19</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土地立入承諾書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様式１３</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20</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情報公開希望申立書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様式１４</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21</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質問書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別紙１</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bl>
    <w:p>
      <w:pPr>
        <w:pStyle w:val="0"/>
        <w:numPr>
          <w:numId w:val="0"/>
        </w:numPr>
        <w:ind w:left="360" w:leftChars="0" w:firstLine="0" w:firstLineChars="0"/>
        <w:rPr>
          <w:rFonts w:hint="eastAsia" w:ascii="ＭＳ ゴシック" w:hAnsi="ＭＳ ゴシック" w:eastAsia="ＭＳ ゴシック"/>
          <w:b w:val="1"/>
          <w:color w:val="000000" w:themeColor="text1"/>
        </w:rPr>
      </w:pPr>
    </w:p>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６</w:t>
      </w:r>
      <w:r>
        <w:rPr>
          <w:rFonts w:hint="eastAsia" w:ascii="ＭＳ ゴシック" w:hAnsi="ＭＳ ゴシック" w:eastAsia="ＭＳ ゴシック"/>
          <w:b w:val="1"/>
          <w:color w:val="000000" w:themeColor="text1"/>
        </w:rPr>
        <w:t xml:space="preserve">  </w:t>
      </w:r>
      <w:r>
        <w:rPr>
          <w:rFonts w:hint="eastAsia" w:ascii="ＭＳ ゴシック" w:hAnsi="ＭＳ ゴシック" w:eastAsia="ＭＳ ゴシック"/>
          <w:b w:val="1"/>
          <w:color w:val="000000" w:themeColor="text1"/>
        </w:rPr>
        <w:t>整備運営事業者の選定方法等</w:t>
      </w:r>
    </w:p>
    <w:p>
      <w:pPr>
        <w:pStyle w:val="0"/>
        <w:ind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(1)</w:t>
      </w:r>
      <w:r>
        <w:rPr>
          <w:rFonts w:hint="eastAsia" w:ascii="ＭＳ ゴシック" w:hAnsi="ＭＳ ゴシック" w:eastAsia="ＭＳ ゴシック"/>
          <w:color w:val="000000" w:themeColor="text1"/>
        </w:rPr>
        <w:t>　</w:t>
      </w:r>
      <w:r>
        <w:rPr>
          <w:rFonts w:hint="eastAsia" w:ascii="ＭＳ ゴシック" w:hAnsi="ＭＳ ゴシック" w:eastAsia="ＭＳ ゴシック"/>
          <w:color w:val="auto"/>
          <w:highlight w:val="none"/>
        </w:rPr>
        <w:t>整備運営事業者</w:t>
      </w:r>
      <w:r>
        <w:rPr>
          <w:rFonts w:hint="eastAsia" w:ascii="ＭＳ ゴシック" w:hAnsi="ＭＳ ゴシック" w:eastAsia="ＭＳ ゴシック"/>
          <w:color w:val="000000" w:themeColor="text1"/>
        </w:rPr>
        <w:t>の選定方法</w:t>
      </w:r>
    </w:p>
    <w:p>
      <w:pPr>
        <w:pStyle w:val="0"/>
        <w:ind w:left="0" w:leftChars="0" w:firstLine="630" w:firstLineChars="3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原則、プロポーザル方式により選定します。</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有識者等で構成する廿日市市保健福祉審議会高齢福祉専門部会における審査を基に廿日市市長が決定します。</w:t>
      </w:r>
    </w:p>
    <w:p>
      <w:pPr>
        <w:pStyle w:val="0"/>
        <w:ind w:left="0" w:leftChars="0"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(2)</w:t>
      </w:r>
      <w:r>
        <w:rPr>
          <w:rFonts w:hint="eastAsia" w:ascii="ＭＳ ゴシック" w:hAnsi="ＭＳ ゴシック" w:eastAsia="ＭＳ ゴシック"/>
          <w:color w:val="000000" w:themeColor="text1"/>
        </w:rPr>
        <w:t>　審査方法</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審査は、別紙「審査基準」に基づき、応募書類等により計画の内容や指定基準を満たすかどうか、本事業に対する考え方、理解度及び運営体制等を項目別に評価し点数化します。</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000000" w:themeColor="text1"/>
        </w:rPr>
        <w:t>プロポーザル方式では、応募書類に加え、プレゼンテーション並びにヒアリングを実施します。</w:t>
      </w:r>
      <w:r>
        <w:rPr>
          <w:rFonts w:hint="eastAsia" w:ascii="ＭＳ ゴシック" w:hAnsi="ＭＳ ゴシック" w:eastAsia="ＭＳ ゴシック"/>
          <w:color w:val="auto"/>
        </w:rPr>
        <w:t>特色のある取組などアピールしたい内容を発表してください。プレゼンテーションの日程等については、別途連絡します。</w:t>
      </w:r>
    </w:p>
    <w:p>
      <w:pPr>
        <w:pStyle w:val="0"/>
        <w:ind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(3)  </w:t>
      </w:r>
      <w:r>
        <w:rPr>
          <w:rFonts w:hint="eastAsia" w:ascii="ＭＳ ゴシック" w:hAnsi="ＭＳ ゴシック" w:eastAsia="ＭＳ ゴシック"/>
          <w:color w:val="auto"/>
        </w:rPr>
        <w:t>選定結果の通知及び公表</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選定の結果は、審査終了後速やかに、書面により応募者に通知するとともに、市ホームページで公表します。</w:t>
      </w:r>
    </w:p>
    <w:p>
      <w:pPr>
        <w:pStyle w:val="0"/>
        <w:ind w:left="420" w:leftChars="200" w:firstLine="210" w:firstLineChars="100"/>
        <w:rPr>
          <w:rFonts w:hint="eastAsia" w:ascii="ＭＳ ゴシック" w:hAnsi="ＭＳ ゴシック" w:eastAsia="ＭＳ ゴシック"/>
          <w:b w:val="1"/>
          <w:color w:val="auto"/>
        </w:rPr>
      </w:pPr>
      <w:r>
        <w:rPr>
          <w:rFonts w:hint="eastAsia" w:ascii="ＭＳ ゴシック" w:hAnsi="ＭＳ ゴシック" w:eastAsia="ＭＳ ゴシック"/>
          <w:color w:val="auto"/>
        </w:rPr>
        <w:t>なお、選定結果に対する異議は受け付けませんのでご了承ください。また、選定により</w:t>
      </w:r>
      <w:r>
        <w:rPr>
          <w:rFonts w:hint="eastAsia" w:ascii="ＭＳ ゴシック" w:hAnsi="ＭＳ ゴシック" w:eastAsia="ＭＳ ゴシック"/>
          <w:color w:val="auto"/>
          <w:highlight w:val="none"/>
        </w:rPr>
        <w:t>整備運営事業者</w:t>
      </w:r>
      <w:r>
        <w:rPr>
          <w:rFonts w:hint="eastAsia" w:ascii="ＭＳ ゴシック" w:hAnsi="ＭＳ ゴシック" w:eastAsia="ＭＳ ゴシック"/>
          <w:color w:val="auto"/>
        </w:rPr>
        <w:t>となった場合は、法人の解散など、本市がやむを得ないものと認めた場合を除き、辞退することはできません。</w:t>
      </w:r>
    </w:p>
    <w:p>
      <w:pPr>
        <w:pStyle w:val="0"/>
        <w:ind w:left="422" w:hanging="422" w:hangingChars="200"/>
        <w:rPr>
          <w:rFonts w:hint="eastAsia" w:ascii="ＭＳ ゴシック" w:hAnsi="ＭＳ ゴシック" w:eastAsia="ＭＳ ゴシック"/>
          <w:color w:val="auto"/>
        </w:rPr>
      </w:pPr>
    </w:p>
    <w:p>
      <w:pPr>
        <w:pStyle w:val="0"/>
        <w:ind w:left="422" w:hanging="422" w:hangingChars="200"/>
        <w:rPr>
          <w:rFonts w:hint="eastAsia" w:ascii="ＭＳ ゴシック" w:hAnsi="ＭＳ ゴシック" w:eastAsia="ＭＳ ゴシック"/>
          <w:color w:val="auto"/>
        </w:rPr>
      </w:pPr>
      <w:r>
        <w:rPr>
          <w:rFonts w:hint="eastAsia" w:ascii="ＭＳ ゴシック" w:hAnsi="ＭＳ ゴシック" w:eastAsia="ＭＳ ゴシック"/>
          <w:b w:val="1"/>
          <w:color w:val="auto"/>
        </w:rPr>
        <w:t>７　募集内容に関する質問</w:t>
      </w:r>
    </w:p>
    <w:p>
      <w:pPr>
        <w:pStyle w:val="0"/>
        <w:ind w:left="422" w:hanging="422" w:hangingChars="200"/>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　　</w:t>
      </w:r>
      <w:r>
        <w:rPr>
          <w:rFonts w:hint="eastAsia" w:ascii="ＭＳ ゴシック" w:hAnsi="ＭＳ ゴシック" w:eastAsia="ＭＳ ゴシック"/>
          <w:b w:val="0"/>
          <w:color w:val="auto"/>
        </w:rPr>
        <w:t>応募に関する質問は、「質問書」（別紙１）により次のとおり受け付けます。</w:t>
      </w:r>
    </w:p>
    <w:p>
      <w:pPr>
        <w:pStyle w:val="0"/>
        <w:ind w:left="208" w:leftChars="-99" w:hanging="416" w:hangingChars="198"/>
        <w:rPr>
          <w:rFonts w:hint="eastAsia" w:ascii="ＭＳ ゴシック" w:hAnsi="ＭＳ ゴシック" w:eastAsia="ＭＳ ゴシック"/>
          <w:b w:val="1"/>
          <w:color w:val="auto"/>
        </w:rPr>
      </w:pPr>
      <w:r>
        <w:rPr>
          <w:rFonts w:hint="eastAsia" w:ascii="ＭＳ ゴシック" w:hAnsi="ＭＳ ゴシック" w:eastAsia="ＭＳ ゴシック"/>
          <w:b w:val="0"/>
          <w:color w:val="auto"/>
        </w:rPr>
        <w:t>　　　なお、質問書を電子メールで送信される場合は、件名に『地域密着型事業者募集』と入力してください。</w:t>
      </w:r>
    </w:p>
    <w:p>
      <w:pPr>
        <w:pStyle w:val="0"/>
        <w:ind w:left="208" w:leftChars="-99" w:hanging="416" w:hangingChars="198"/>
        <w:rPr>
          <w:rFonts w:hint="eastAsia" w:ascii="ＭＳ ゴシック" w:hAnsi="ＭＳ ゴシック" w:eastAsia="ＭＳ ゴシック"/>
          <w:b w:val="1"/>
          <w:color w:val="auto"/>
        </w:rPr>
      </w:pPr>
      <w:r>
        <w:rPr>
          <w:rFonts w:hint="eastAsia" w:ascii="ＭＳ ゴシック" w:hAnsi="ＭＳ ゴシック" w:eastAsia="ＭＳ ゴシック"/>
          <w:b w:val="0"/>
          <w:color w:val="auto"/>
        </w:rPr>
        <w:t>　　　</w:t>
      </w:r>
      <w:r>
        <w:rPr>
          <w:rFonts w:hint="eastAsia" w:ascii="ＭＳ ゴシック" w:hAnsi="ＭＳ ゴシック" w:eastAsia="ＭＳ ゴシック"/>
          <w:color w:val="auto"/>
        </w:rPr>
        <w:t>質問に対する回答は、電子メール等で回答します。質問により募集内容に変更が生じた場合は、廿日市市ホームページに掲載し、順次更新します。</w:t>
      </w:r>
    </w:p>
    <w:tbl>
      <w:tblPr>
        <w:tblStyle w:val="44"/>
        <w:tblW w:w="0" w:type="auto"/>
        <w:jc w:val="left"/>
        <w:tblInd w:w="370" w:type="dxa"/>
        <w:tblLayout w:type="fixed"/>
        <w:tblLook w:firstRow="1" w:lastRow="0" w:firstColumn="1" w:lastColumn="0" w:noHBand="0" w:noVBand="1" w:val="04A0"/>
      </w:tblPr>
      <w:tblGrid>
        <w:gridCol w:w="1935"/>
        <w:gridCol w:w="6720"/>
      </w:tblGrid>
      <w:tr>
        <w:trPr/>
        <w:tc>
          <w:tcPr>
            <w:tcW w:w="1935" w:type="dxa"/>
            <w:vAlign w:val="center"/>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質問受付期間</w:t>
            </w:r>
          </w:p>
        </w:tc>
        <w:tc>
          <w:tcPr>
            <w:tcW w:w="6720"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strike w:val="0"/>
                <w:dstrike w:val="0"/>
                <w:color w:val="auto"/>
              </w:rPr>
              <w:t>随時受付</w:t>
            </w:r>
          </w:p>
        </w:tc>
      </w:tr>
      <w:tr>
        <w:trPr/>
        <w:tc>
          <w:tcPr>
            <w:tcW w:w="1935" w:type="dxa"/>
            <w:vAlign w:val="center"/>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受付方法</w:t>
            </w:r>
          </w:p>
        </w:tc>
        <w:tc>
          <w:tcPr>
            <w:tcW w:w="6720"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電子メール　</w:t>
            </w:r>
            <w:r>
              <w:rPr>
                <w:rFonts w:hint="eastAsia" w:ascii="ＭＳ ゴシック" w:hAnsi="ＭＳ ゴシック" w:eastAsia="ＭＳ ゴシック"/>
                <w:color w:val="auto"/>
              </w:rPr>
              <w:t>koreikaigo@city.hatsukaichi.lg.jp</w:t>
            </w:r>
          </w:p>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ＦＡＸ　０８２９－２０－１６１１</w:t>
            </w:r>
          </w:p>
        </w:tc>
      </w:tr>
    </w:tbl>
    <w:p>
      <w:pPr>
        <w:pStyle w:val="0"/>
        <w:ind w:left="210" w:leftChars="100" w:firstLineChars="0"/>
        <w:rPr>
          <w:rFonts w:hint="eastAsia" w:ascii="ＭＳ ゴシック" w:hAnsi="ＭＳ ゴシック" w:eastAsia="ＭＳ ゴシック"/>
          <w:b w:val="1"/>
          <w:color w:val="000000" w:themeColor="text1"/>
        </w:rPr>
      </w:pPr>
      <w:r>
        <w:rPr>
          <w:rFonts w:hint="eastAsia" w:ascii="ＭＳ ゴシック" w:hAnsi="ＭＳ ゴシック" w:eastAsia="ＭＳ ゴシック"/>
          <w:color w:val="000000" w:themeColor="text1"/>
        </w:rPr>
        <w:t>　</w:t>
      </w:r>
    </w:p>
    <w:p>
      <w:pPr>
        <w:pStyle w:val="0"/>
        <w:ind w:left="422" w:hanging="422" w:hangingChars="20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８　選定後の手続</w:t>
      </w:r>
    </w:p>
    <w:p>
      <w:pPr>
        <w:pStyle w:val="0"/>
        <w:ind w:left="210" w:leftChars="100" w:firstLine="210" w:firstLineChars="1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新規整備に係る</w:t>
      </w:r>
      <w:r>
        <w:rPr>
          <w:rFonts w:hint="eastAsia" w:ascii="ＭＳ ゴシック" w:hAnsi="ＭＳ ゴシック" w:eastAsia="ＭＳ ゴシック"/>
          <w:color w:val="auto"/>
          <w:highlight w:val="none"/>
        </w:rPr>
        <w:t>整備運営事業者</w:t>
      </w:r>
      <w:r>
        <w:rPr>
          <w:rFonts w:hint="eastAsia" w:ascii="ＭＳ ゴシック" w:hAnsi="ＭＳ ゴシック" w:eastAsia="ＭＳ ゴシック"/>
          <w:b w:val="0"/>
          <w:color w:val="000000" w:themeColor="text1"/>
        </w:rPr>
        <w:t>選定通知書の交付を受けた</w:t>
      </w:r>
      <w:r>
        <w:rPr>
          <w:rFonts w:hint="eastAsia" w:ascii="ＭＳ ゴシック" w:hAnsi="ＭＳ ゴシック" w:eastAsia="ＭＳ ゴシック"/>
          <w:color w:val="auto"/>
          <w:highlight w:val="none"/>
        </w:rPr>
        <w:t>整備運営事業者</w:t>
      </w:r>
      <w:r>
        <w:rPr>
          <w:rFonts w:hint="eastAsia" w:ascii="ＭＳ ゴシック" w:hAnsi="ＭＳ ゴシック" w:eastAsia="ＭＳ ゴシック"/>
          <w:b w:val="0"/>
          <w:color w:val="000000" w:themeColor="text1"/>
        </w:rPr>
        <w:t>は、事業所整備を行うとともに、人員の確保等を行い、選定された事業計画を満たした段階で、本市に対して指定申請を行うことができます。なお、令和８年度末（令和９年４月１日指定を含む。）までに事業が開始できるよう指定申請を行う必要があります。</w:t>
      </w:r>
    </w:p>
    <w:p>
      <w:pPr>
        <w:pStyle w:val="0"/>
        <w:ind w:left="210" w:leftChars="100" w:firstLine="210" w:firstLineChars="10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0"/>
          <w:color w:val="000000" w:themeColor="text1"/>
        </w:rPr>
        <w:t>指定申請の内容について審査し、適切と判断した場合に、介護保険法に規定する所定の手続を経た後、指定事業者として指定します。</w:t>
      </w:r>
    </w:p>
    <w:p>
      <w:pPr>
        <w:pStyle w:val="0"/>
        <w:ind w:leftChars="0" w:firstLineChars="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0"/>
          <w:color w:val="000000" w:themeColor="text1"/>
        </w:rPr>
        <w:t xml:space="preserve"> </w:t>
      </w:r>
    </w:p>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mc:AlternateContent>
          <mc:Choice Requires="wps">
            <w:drawing>
              <wp:anchor simplePos="0" relativeHeight="2" behindDoc="0" locked="0" layoutInCell="1" hidden="0" allowOverlap="1">
                <wp:simplePos x="0" y="0"/>
                <wp:positionH relativeFrom="column">
                  <wp:posOffset>-1576705</wp:posOffset>
                </wp:positionH>
                <wp:positionV relativeFrom="paragraph">
                  <wp:posOffset>147320</wp:posOffset>
                </wp:positionV>
                <wp:extent cx="114300" cy="11430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14300" cy="114300"/>
                        </a:xfrm>
                        <a:prstGeom prst="ellipse">
                          <a:avLst/>
                        </a:prstGeom>
                        <a:solidFill>
                          <a:srgbClr val="FFFFFF"/>
                        </a:solidFill>
                        <a:ln w="9525">
                          <a:solidFill>
                            <a:sysClr val="windowText" lastClr="000000"/>
                          </a:solidFill>
                        </a:ln>
                      </wps:spPr>
                      <wps:bodyPr/>
                    </wps:wsp>
                  </a:graphicData>
                </a:graphic>
              </wp:anchor>
            </w:drawing>
          </mc:Choice>
          <mc:Fallback>
            <w:pict>
              <v:oval id="オブジェクト 0" style="z-index:2;height:9pt;width:9pt;mso-position-horizontal-relative:text;position:absolute;margin-top:11.6pt;margin-left:-124.15pt;mso-position-vertical-relative:text;" o:spid="_x0000_s1026" o:allowincell="t" o:allowoverlap="t" filled="t" fillcolor="#ffffff" stroked="t" strokecolor="#000000" strokeweight="0.75pt" o:spt="3">
                <v:fill/>
                <v:stroke filltype="solid"/>
                <v:textbox style="layout-flow:horizontal;"/>
                <v:imagedata o:title=""/>
                <w10:wrap type="none" anchorx="text" anchory="text"/>
              </v:oval>
            </w:pict>
          </mc:Fallback>
        </mc:AlternateContent>
      </w:r>
      <w:r>
        <w:rPr>
          <w:rFonts w:hint="eastAsia" w:ascii="ＭＳ ゴシック" w:hAnsi="ＭＳ ゴシック" w:eastAsia="ＭＳ ゴシック"/>
          <w:b w:val="1"/>
          <w:color w:val="000000" w:themeColor="text1"/>
        </w:rPr>
        <w:t>９</w:t>
      </w:r>
      <w:r>
        <w:rPr>
          <w:rFonts w:hint="eastAsia" w:ascii="ＭＳ ゴシック" w:hAnsi="ＭＳ ゴシック" w:eastAsia="ＭＳ ゴシック"/>
          <w:b w:val="1"/>
          <w:color w:val="000000" w:themeColor="text1"/>
        </w:rPr>
        <w:t xml:space="preserve">  </w:t>
      </w:r>
      <w:r>
        <w:rPr>
          <w:rFonts w:hint="eastAsia" w:ascii="ＭＳ ゴシック" w:hAnsi="ＭＳ ゴシック" w:eastAsia="ＭＳ ゴシック"/>
          <w:b w:val="1"/>
          <w:color w:val="000000" w:themeColor="text1"/>
        </w:rPr>
        <w:t>留意事項</w:t>
      </w:r>
    </w:p>
    <w:p>
      <w:pPr>
        <w:pStyle w:val="0"/>
        <w:ind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(1)</w:t>
      </w:r>
      <w:r>
        <w:rPr>
          <w:rFonts w:hint="eastAsia" w:ascii="ＭＳ ゴシック" w:hAnsi="ＭＳ ゴシック" w:eastAsia="ＭＳ ゴシック"/>
          <w:color w:val="000000" w:themeColor="text1"/>
        </w:rPr>
        <w:t>　応募について</w:t>
      </w:r>
    </w:p>
    <w:p>
      <w:pPr>
        <w:pStyle w:val="0"/>
        <w:ind w:left="0" w:leftChars="0" w:hanging="630" w:hangingChars="300"/>
        <w:rPr>
          <w:rFonts w:hint="eastAsia" w:ascii="ＭＳ ゴシック" w:hAnsi="ＭＳ ゴシック" w:eastAsia="ＭＳ ゴシック"/>
          <w:color w:val="000000" w:themeColor="text1"/>
          <w:highlight w:val="none"/>
        </w:rPr>
      </w:pPr>
      <w:r>
        <w:rPr>
          <w:rFonts w:hint="eastAsia" w:ascii="ＭＳ ゴシック" w:hAnsi="ＭＳ ゴシック" w:eastAsia="ＭＳ ゴシック"/>
          <w:color w:val="000000" w:themeColor="text1"/>
        </w:rPr>
        <w:t>　　①　事業計画書提出後に、本市職員が整備予定地の現地調査を行いますので、あらかじめ現在の土地所有者の承諾を得て、</w:t>
      </w:r>
      <w:r>
        <w:rPr>
          <w:rFonts w:hint="eastAsia" w:ascii="ＭＳ ゴシック" w:hAnsi="ＭＳ ゴシック" w:eastAsia="ＭＳ ゴシック"/>
          <w:color w:val="000000" w:themeColor="text1"/>
          <w:highlight w:val="none"/>
        </w:rPr>
        <w:t>「土地立入承諾書」（様式１３）を提出してください。</w:t>
      </w:r>
    </w:p>
    <w:p>
      <w:pPr>
        <w:pStyle w:val="0"/>
        <w:ind w:left="0" w:leftChars="0" w:firstLine="420" w:firstLineChars="200"/>
        <w:rPr>
          <w:rFonts w:hint="eastAsia" w:ascii="ＭＳ ゴシック" w:hAnsi="ＭＳ ゴシック" w:eastAsia="ＭＳ ゴシック"/>
          <w:color w:val="000000" w:themeColor="text1"/>
          <w:highlight w:val="none"/>
        </w:rPr>
      </w:pPr>
      <w:r>
        <w:rPr>
          <w:rFonts w:hint="eastAsia" w:ascii="ＭＳ ゴシック" w:hAnsi="ＭＳ ゴシック" w:eastAsia="ＭＳ ゴシック"/>
          <w:color w:val="000000" w:themeColor="text1"/>
          <w:highlight w:val="none"/>
        </w:rPr>
        <w:t>②　応募の際に要する費用は、応募者の負担とします。</w:t>
      </w:r>
    </w:p>
    <w:p>
      <w:pPr>
        <w:pStyle w:val="0"/>
        <w:ind w:left="630" w:leftChars="200" w:hanging="210" w:hangingChars="100"/>
        <w:rPr>
          <w:rFonts w:hint="eastAsia" w:ascii="ＭＳ ゴシック" w:hAnsi="ＭＳ ゴシック" w:eastAsia="ＭＳ ゴシック"/>
          <w:color w:val="000000" w:themeColor="text1"/>
          <w:highlight w:val="none"/>
        </w:rPr>
      </w:pPr>
      <w:r>
        <w:rPr>
          <w:rFonts w:hint="eastAsia" w:ascii="ＭＳ ゴシック" w:hAnsi="ＭＳ ゴシック" w:eastAsia="ＭＳ ゴシック"/>
          <w:color w:val="000000" w:themeColor="text1"/>
          <w:highlight w:val="none"/>
        </w:rPr>
        <w:t>③　応募者が応募に当たって、特許権、実用新案権その他法令に基づいて保護されている権　　　利を侵害し、第三者に損害を与えたときは、その責任の一切を応募者が負うこととします。</w:t>
      </w:r>
    </w:p>
    <w:p>
      <w:pPr>
        <w:pStyle w:val="0"/>
        <w:ind w:left="630" w:leftChars="200" w:hanging="210" w:hangingChars="100"/>
        <w:rPr>
          <w:rFonts w:hint="eastAsia" w:ascii="ＭＳ ゴシック" w:hAnsi="ＭＳ ゴシック" w:eastAsia="ＭＳ ゴシック"/>
          <w:color w:val="000000" w:themeColor="text1"/>
          <w:highlight w:val="none"/>
        </w:rPr>
      </w:pPr>
      <w:r>
        <w:rPr>
          <w:rFonts w:hint="eastAsia" w:ascii="ＭＳ ゴシック" w:hAnsi="ＭＳ ゴシック" w:eastAsia="ＭＳ ゴシック"/>
          <w:color w:val="000000" w:themeColor="text1"/>
          <w:highlight w:val="none"/>
        </w:rPr>
        <w:t>④　応募者から提出された事業計画書を総合的に評価した上で</w:t>
      </w:r>
      <w:r>
        <w:rPr>
          <w:rFonts w:hint="eastAsia" w:ascii="ＭＳ ゴシック" w:hAnsi="ＭＳ ゴシック" w:eastAsia="ＭＳ ゴシック"/>
          <w:color w:val="auto"/>
          <w:highlight w:val="none"/>
        </w:rPr>
        <w:t>整備運営事業者</w:t>
      </w:r>
      <w:r>
        <w:rPr>
          <w:rFonts w:hint="eastAsia" w:ascii="ＭＳ ゴシック" w:hAnsi="ＭＳ ゴシック" w:eastAsia="ＭＳ ゴシック"/>
          <w:color w:val="000000" w:themeColor="text1"/>
          <w:highlight w:val="none"/>
        </w:rPr>
        <w:t>の選定を行いますので、事業計画書の提出をもって、指定事業者として指定されることを保証するものではありませんので、ご留意ください。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highlight w:val="none"/>
        </w:rPr>
        <w:t>⑤　暴力団排除に係る適否判定基準については、対象者の氏名、生年月日等の個人情報に基づき、広島県警察本部にその該当の有無を照会します。</w:t>
      </w:r>
    </w:p>
    <w:p>
      <w:pPr>
        <w:pStyle w:val="0"/>
        <w:ind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(2)</w:t>
      </w:r>
      <w:r>
        <w:rPr>
          <w:rFonts w:hint="eastAsia" w:ascii="ＭＳ ゴシック" w:hAnsi="ＭＳ ゴシック" w:eastAsia="ＭＳ ゴシック"/>
          <w:color w:val="000000" w:themeColor="text1"/>
        </w:rPr>
        <w:t>　事業計画書の遵守について</w:t>
      </w:r>
    </w:p>
    <w:p>
      <w:pPr>
        <w:pStyle w:val="0"/>
        <w:ind w:left="0"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事業計画書に記載された内容で評価に影響を与えるものは、原則として１０年間は遵守して運営してください。</w:t>
      </w:r>
    </w:p>
    <w:p>
      <w:pPr>
        <w:pStyle w:val="0"/>
        <w:ind w:left="0"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(3)</w:t>
      </w:r>
      <w:r>
        <w:rPr>
          <w:rFonts w:hint="eastAsia" w:ascii="ＭＳ ゴシック" w:hAnsi="ＭＳ ゴシック" w:eastAsia="ＭＳ ゴシック"/>
          <w:color w:val="000000" w:themeColor="text1"/>
        </w:rPr>
        <w:t>　選定取消しについて</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①　</w:t>
      </w:r>
      <w:r>
        <w:rPr>
          <w:rFonts w:hint="eastAsia" w:ascii="ＭＳ ゴシック" w:hAnsi="ＭＳ ゴシック" w:eastAsia="ＭＳ ゴシック"/>
          <w:color w:val="auto"/>
          <w:highlight w:val="none"/>
        </w:rPr>
        <w:t>整備運営事業者</w:t>
      </w:r>
      <w:r>
        <w:rPr>
          <w:rFonts w:hint="eastAsia" w:ascii="ＭＳ ゴシック" w:hAnsi="ＭＳ ゴシック" w:eastAsia="ＭＳ ゴシック"/>
          <w:color w:val="000000" w:themeColor="text1"/>
        </w:rPr>
        <w:t>として選定された後においても、事業計画書について、虚偽の記載又は事実と相違する記載があったことが判明した場合や、事業所を整備する上で必要な許可等が取得できないなど令和８年度末（令和９年４月１日指定を含む。）までに介護保険法に規定する指定を受けることが困難と見込まれる場合、又は整備運営主体の適否判定上「否」と判断される事態が判明した場合、選定を取り消すことがあります。</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②　</w:t>
      </w:r>
      <w:r>
        <w:rPr>
          <w:rFonts w:hint="eastAsia" w:ascii="ＭＳ ゴシック" w:hAnsi="ＭＳ ゴシック" w:eastAsia="ＭＳ ゴシック"/>
          <w:color w:val="auto"/>
          <w:highlight w:val="none"/>
        </w:rPr>
        <w:t>整備運営事業者</w:t>
      </w:r>
      <w:r>
        <w:rPr>
          <w:rFonts w:hint="eastAsia" w:ascii="ＭＳ ゴシック" w:hAnsi="ＭＳ ゴシック" w:eastAsia="ＭＳ ゴシック"/>
          <w:color w:val="000000" w:themeColor="text1"/>
        </w:rPr>
        <w:t>として選定された後の事業計画書の変更については、建物の実施設計に伴うものなど、本市がやむを得ないと認めた場合のみ、可能とします。ただし、整備予定地や、この募集に係る評価に影響を与える変更は、原則、認めません。</w:t>
      </w:r>
    </w:p>
    <w:p>
      <w:pPr>
        <w:pStyle w:val="0"/>
        <w:ind w:left="630" w:leftChars="3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こうした事態が発生した場合は、選定を取り消すことがありますので、十分注意してください。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③　</w:t>
      </w:r>
      <w:r>
        <w:rPr>
          <w:rFonts w:hint="eastAsia" w:ascii="ＭＳ ゴシック" w:hAnsi="ＭＳ ゴシック" w:eastAsia="ＭＳ ゴシック"/>
          <w:color w:val="auto"/>
          <w:highlight w:val="none"/>
        </w:rPr>
        <w:t>整備運営事業者</w:t>
      </w:r>
      <w:r>
        <w:rPr>
          <w:rFonts w:hint="eastAsia" w:ascii="ＭＳ ゴシック" w:hAnsi="ＭＳ ゴシック" w:eastAsia="ＭＳ ゴシック"/>
          <w:color w:val="000000" w:themeColor="text1"/>
        </w:rPr>
        <w:t>の選定が取消しとなった場合、応募者が要した経費その他応募者が要した負担について、本市は一切負担しません。</w:t>
      </w:r>
    </w:p>
    <w:p>
      <w:pPr>
        <w:pStyle w:val="0"/>
        <w:ind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(4)</w:t>
      </w:r>
      <w:r>
        <w:rPr>
          <w:rFonts w:hint="eastAsia" w:ascii="ＭＳ ゴシック" w:hAnsi="ＭＳ ゴシック" w:eastAsia="ＭＳ ゴシック"/>
          <w:color w:val="000000" w:themeColor="text1"/>
        </w:rPr>
        <w:t>　選定取消し等に基づく応募停止期間について</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auto"/>
          <w:highlight w:val="none"/>
        </w:rPr>
        <w:t>整備運営事業者</w:t>
      </w:r>
      <w:r>
        <w:rPr>
          <w:rFonts w:hint="eastAsia" w:ascii="ＭＳ ゴシック" w:hAnsi="ＭＳ ゴシック" w:eastAsia="ＭＳ ゴシック"/>
          <w:color w:val="000000" w:themeColor="text1"/>
        </w:rPr>
        <w:t>として選定されたにもかかわらず、選定を取り消された者又は正当な理由なく辞退した者は、選定を取り消された日又は辞退した日から起算して３年間、本市の地域密着型サービス事業者の募集に応募できません。</w:t>
      </w:r>
    </w:p>
    <w:p>
      <w:pPr>
        <w:pStyle w:val="0"/>
        <w:ind w:left="0"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(5)</w:t>
      </w:r>
      <w:r>
        <w:rPr>
          <w:rFonts w:hint="eastAsia" w:ascii="ＭＳ ゴシック" w:hAnsi="ＭＳ ゴシック" w:eastAsia="ＭＳ ゴシック"/>
          <w:color w:val="000000" w:themeColor="text1"/>
        </w:rPr>
        <w:t>　整備予定地について</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①　当該土地に事業所存続の支障となりうるような権利設定がない、又はその権利の抹消が確実であることを確認するため、土地の登記事項証明書を提出してください。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②　整備予定地及び事業所の建物が、借地又は借家の場合は、契約書又は賃貸借確約書を提出してください。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③　整備予定地については、当該土地に事業所存続の支障となりうるような権利設定がない、又はその権利の抹消が確実であることを確認するため、土地の登記事項証明書を提出してください。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④　用地を新たに購入する場合又は用地を整地する必要がある場合は、当該費用についても確実な資金計画を立てることとし、挙証資料（預金残高証明書、融資見込証明書（事業計画書提出日前１か月以内に金融機関が発行したもの。以下同じ。））を提出して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⑤　定期借地権の設定による借地を認めますが、借地権の存続期間が５０年以上の一般定期借地権に限ります。</w:t>
      </w:r>
    </w:p>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(6)</w:t>
      </w:r>
      <w:r>
        <w:rPr>
          <w:rFonts w:hint="eastAsia" w:ascii="ＭＳ ゴシック" w:hAnsi="ＭＳ ゴシック" w:eastAsia="ＭＳ ゴシック"/>
          <w:color w:val="000000" w:themeColor="text1"/>
        </w:rPr>
        <w:t>　資金計画について</w:t>
      </w:r>
    </w:p>
    <w:p>
      <w:pPr>
        <w:pStyle w:val="0"/>
        <w:ind w:left="420" w:leftChars="200" w:firstLine="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①　建設に係る自己資金</w:t>
      </w:r>
    </w:p>
    <w:p>
      <w:pPr>
        <w:pStyle w:val="0"/>
        <w:ind w:left="840" w:leftChars="3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ア　新設法人については、自己資金に係る確保状況を確認するため、預金残高証明書及び　　融資見込証明書を提出してください。</w:t>
      </w:r>
    </w:p>
    <w:p>
      <w:pPr>
        <w:pStyle w:val="0"/>
        <w:ind w:left="840" w:leftChars="3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イ　既存法人については、直近３期分の決算書類を提出してください。なお、決算書類に記載されていない資産売却等による現金、普通預金又は当座預金等の確保があった場合には、その挙証資料（預金残高証明書等）を添付してください。</w:t>
      </w:r>
    </w:p>
    <w:p>
      <w:pPr>
        <w:pStyle w:val="0"/>
        <w:ind w:left="420" w:leftChars="200" w:firstLine="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②　事業開始後の資金計画</w:t>
      </w:r>
    </w:p>
    <w:p>
      <w:pPr>
        <w:pStyle w:val="0"/>
        <w:ind w:left="630" w:leftChars="3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事業開始後の資金計画における収入については介護報酬や利用料収入等を適切に算出するとともに、支出については人件費等について適切に算出してください。</w:t>
      </w:r>
    </w:p>
    <w:p>
      <w:pPr>
        <w:pStyle w:val="0"/>
        <w:ind w:left="630" w:leftChars="300" w:firstLine="210" w:firstLineChars="100"/>
        <w:rPr>
          <w:rFonts w:hint="eastAsia" w:ascii="ＭＳ ゴシック" w:hAnsi="ＭＳ ゴシック" w:eastAsia="ＭＳ ゴシック"/>
          <w:b w:val="0"/>
          <w:color w:val="000000" w:themeColor="text1"/>
          <w:u w:val="none" w:color="auto"/>
        </w:rPr>
      </w:pPr>
      <w:r>
        <w:rPr>
          <w:rFonts w:hint="eastAsia" w:ascii="ＭＳ ゴシック" w:hAnsi="ＭＳ ゴシック" w:eastAsia="ＭＳ ゴシック"/>
          <w:color w:val="000000" w:themeColor="text1"/>
          <w:highlight w:val="none"/>
        </w:rPr>
        <w:t>なお、</w:t>
      </w:r>
      <w:r>
        <w:rPr>
          <w:rFonts w:hint="eastAsia" w:ascii="ＭＳ ゴシック" w:hAnsi="ＭＳ ゴシック" w:eastAsia="ＭＳ ゴシック"/>
          <w:b w:val="1"/>
          <w:color w:val="000000" w:themeColor="text1"/>
          <w:highlight w:val="none"/>
          <w:u w:val="single" w:color="000000"/>
        </w:rPr>
        <w:t>広島県の「地域医療介護総合確保事業」及び本市の予算の範囲内で、補助金交付の対象となる場合がありますが、応募に当たっては、当該補助金の交付を見込まずに資金計画を作成してください。</w:t>
      </w:r>
    </w:p>
    <w:p>
      <w:pPr>
        <w:pStyle w:val="0"/>
        <w:ind w:left="420" w:leftChars="200" w:firstLine="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③　借入金</w:t>
      </w:r>
    </w:p>
    <w:p>
      <w:pPr>
        <w:pStyle w:val="0"/>
        <w:ind w:left="630" w:leftChars="3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償還計画は、利用者から徴収する居住費等から償還することを原則とし、収入から償還できる額の範囲内で借入れを行ってください。</w:t>
      </w:r>
    </w:p>
    <w:p>
      <w:pPr>
        <w:pStyle w:val="0"/>
        <w:ind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(7)</w:t>
      </w:r>
      <w:r>
        <w:rPr>
          <w:rFonts w:hint="eastAsia" w:ascii="ＭＳ ゴシック" w:hAnsi="ＭＳ ゴシック" w:eastAsia="ＭＳ ゴシック"/>
          <w:color w:val="000000" w:themeColor="text1"/>
        </w:rPr>
        <w:t>　地元への説明等情報提供について</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この事業の運営に当たっては、地域住民との連携及び協力が必要です。書類提出前までに地元に説明を行い、その結果及び状況について、所定の様式（様式１２）により提出してください。</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説明の対象は、隣接地主及び整備予定地のある町内会（事業所の設置に伴い影響を受けると見込まれる周辺町内会も含む。）とします。</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また、事業者として選定後は速やかに、選定後の地元説明会を行ってください。</w:t>
      </w:r>
    </w:p>
    <w:p>
      <w:pPr>
        <w:pStyle w:val="0"/>
        <w:ind w:left="0"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(8)</w:t>
      </w:r>
      <w:r>
        <w:rPr>
          <w:rFonts w:hint="eastAsia" w:ascii="ＭＳ ゴシック" w:hAnsi="ＭＳ ゴシック" w:eastAsia="ＭＳ ゴシック"/>
          <w:color w:val="000000" w:themeColor="text1"/>
        </w:rPr>
        <w:t>　関係法令等の遵守について</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①　事業計画書は、関係法令等（都市計画法、建築基準法、老人福祉法、介護保険法、廿日市市指定地域密着型サービスの事業の人員、設備及び運営に関する基準を定める条例等）に適合する必要があります。</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②　都市計画法に基づく開発行為等の許可を要する場合がありますので、建設部都市計画課（０８２９－３０－９１９４）にお問い合わせください。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③　「広島県福祉のまちづくり条例」に基づき、事前協議書の提出が必要となります。詳細については、建設部建築指導課（０８２９－３０－９１９１）にお問い合わせください。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④　既存の建築物を利用する場合には、当該建築物が、事業開始までに、いわゆる新耐震基準と同等の耐震性能を有することが必要です。当該建物が昭和５６年５月以前に建築確認を受けた建物である場合は、耐震診断結果の概要書を提出してください。耐震診断の結果、耐震に係る工事が必要な場合は、工事費用を整備資金に積算してください。</w:t>
      </w:r>
    </w:p>
    <w:p>
      <w:pPr>
        <w:pStyle w:val="0"/>
        <w:ind w:left="630" w:leftChars="3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また、耐震に係る工事が必要な既存の建築物を利用する事業計画で事業者の選定を受けた場合、指定申請時に耐震化に係る工事の概要書及び耐震診断結果の提出を求めます。</w:t>
      </w:r>
    </w:p>
    <w:p>
      <w:pPr>
        <w:pStyle w:val="0"/>
        <w:ind w:left="0" w:leftChars="0"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(9)</w:t>
      </w:r>
      <w:r>
        <w:rPr>
          <w:rFonts w:hint="eastAsia" w:ascii="ＭＳ ゴシック" w:hAnsi="ＭＳ ゴシック" w:eastAsia="ＭＳ ゴシック"/>
          <w:color w:val="000000" w:themeColor="text1"/>
        </w:rPr>
        <w:t>　補助金（助成金）について</w:t>
      </w:r>
    </w:p>
    <w:p>
      <w:pPr>
        <w:pStyle w:val="0"/>
        <w:ind w:left="420" w:leftChars="100" w:hanging="210" w:hangingChars="100"/>
        <w:rPr>
          <w:rFonts w:hint="eastAsia" w:ascii="ＭＳ ゴシック" w:hAnsi="ＭＳ ゴシック" w:eastAsia="ＭＳ ゴシック"/>
          <w:color w:val="000000" w:themeColor="text1"/>
          <w:highlight w:val="none"/>
          <w:shd w:val="clear" w:color="auto" w:fill="auto"/>
        </w:rPr>
      </w:pPr>
      <w:r>
        <w:rPr>
          <w:rFonts w:hint="eastAsia" w:ascii="ＭＳ ゴシック" w:hAnsi="ＭＳ ゴシック" w:eastAsia="ＭＳ ゴシック"/>
          <w:color w:val="000000" w:themeColor="text1"/>
        </w:rPr>
        <w:t>　　</w:t>
      </w:r>
      <w:r>
        <w:rPr>
          <w:rFonts w:hint="eastAsia" w:ascii="ＭＳ ゴシック" w:hAnsi="ＭＳ ゴシック" w:eastAsia="ＭＳ ゴシック"/>
          <w:color w:val="000000" w:themeColor="text1"/>
          <w:highlight w:val="none"/>
          <w:shd w:val="clear" w:color="auto" w:fill="auto"/>
        </w:rPr>
        <w:t>補助金について、地域密着型サービス等の整備に対し、地域医療介護総合確保基金（介護施設等整備事業）の補助金を充当する予定ですが、</w:t>
      </w:r>
      <w:r>
        <w:rPr>
          <w:rFonts w:hint="eastAsia" w:ascii="ＭＳ ゴシック" w:hAnsi="ＭＳ ゴシック" w:eastAsia="ＭＳ ゴシック"/>
          <w:b w:val="1"/>
          <w:color w:val="auto"/>
          <w:highlight w:val="none"/>
          <w:u w:val="single" w:color="auto"/>
          <w:shd w:val="clear" w:color="auto" w:fill="auto"/>
        </w:rPr>
        <w:t>現段階で国及び県の予算の確約はありません</w:t>
      </w:r>
      <w:r>
        <w:rPr>
          <w:rFonts w:hint="eastAsia" w:ascii="ＭＳ ゴシック" w:hAnsi="ＭＳ ゴシック" w:eastAsia="ＭＳ ゴシック"/>
          <w:b w:val="1"/>
          <w:color w:val="auto"/>
          <w:highlight w:val="none"/>
          <w:u w:val="single" w:color="000000"/>
          <w:shd w:val="clear" w:color="auto" w:fill="auto"/>
        </w:rPr>
        <w:t>。</w:t>
      </w:r>
    </w:p>
    <w:p>
      <w:pPr>
        <w:pStyle w:val="0"/>
        <w:ind w:left="420" w:leftChars="100" w:hanging="210" w:hangingChars="100"/>
        <w:rPr>
          <w:rFonts w:hint="eastAsia" w:ascii="ＭＳ ゴシック" w:hAnsi="ＭＳ ゴシック" w:eastAsia="ＭＳ ゴシック"/>
          <w:color w:val="000000" w:themeColor="text1"/>
          <w:highlight w:val="none"/>
          <w:shd w:val="clear" w:color="auto" w:fill="auto"/>
        </w:rPr>
      </w:pPr>
      <w:r>
        <w:rPr>
          <w:rFonts w:hint="eastAsia" w:ascii="ＭＳ ゴシック" w:hAnsi="ＭＳ ゴシック" w:eastAsia="ＭＳ ゴシック"/>
          <w:color w:val="000000" w:themeColor="text1"/>
          <w:highlight w:val="none"/>
          <w:shd w:val="clear" w:color="auto" w:fill="auto"/>
        </w:rPr>
        <w:t>　　補助金の交付を希望する場合は、</w:t>
      </w:r>
      <w:r>
        <w:rPr>
          <w:rFonts w:hint="eastAsia" w:ascii="ＭＳ ゴシック" w:hAnsi="ＭＳ ゴシック" w:eastAsia="ＭＳ ゴシック"/>
          <w:b w:val="1"/>
          <w:color w:val="000000" w:themeColor="text1"/>
          <w:highlight w:val="none"/>
          <w:u w:val="single" w:color="auto"/>
          <w:shd w:val="clear" w:color="auto" w:fill="auto"/>
        </w:rPr>
        <w:t>広島県からの内示をもって市が指示した日以降に工事を着工し、当該年度中に工事が完了することが条件</w:t>
      </w:r>
      <w:r>
        <w:rPr>
          <w:rFonts w:hint="eastAsia" w:ascii="ＭＳ ゴシック" w:hAnsi="ＭＳ ゴシック" w:eastAsia="ＭＳ ゴシック"/>
          <w:color w:val="000000" w:themeColor="text1"/>
          <w:highlight w:val="none"/>
          <w:shd w:val="clear" w:color="auto" w:fill="auto"/>
        </w:rPr>
        <w:t>となります。</w:t>
      </w:r>
    </w:p>
    <w:p>
      <w:pPr>
        <w:pStyle w:val="0"/>
        <w:ind w:left="420" w:leftChars="1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000000" w:themeColor="text1"/>
          <w:highlight w:val="none"/>
          <w:shd w:val="clear" w:color="auto" w:fill="auto"/>
        </w:rPr>
        <w:t>　　整備を希望する事業者については、</w:t>
      </w:r>
      <w:bookmarkStart w:id="0" w:name="_GoBack"/>
      <w:bookmarkEnd w:id="0"/>
      <w:r>
        <w:rPr>
          <w:rFonts w:hint="eastAsia" w:ascii="ＭＳ ゴシック" w:hAnsi="ＭＳ ゴシック" w:eastAsia="ＭＳ ゴシック"/>
          <w:color w:val="000000" w:themeColor="text1"/>
          <w:highlight w:val="none"/>
          <w:shd w:val="clear" w:color="auto" w:fill="auto"/>
        </w:rPr>
        <w:t>資金計画の策定に当たり、補助金等の不交付や減額等</w:t>
      </w:r>
      <w:r>
        <w:rPr>
          <w:rFonts w:hint="eastAsia" w:ascii="ＭＳ ゴシック" w:hAnsi="ＭＳ ゴシック" w:eastAsia="ＭＳ ゴシック"/>
          <w:color w:val="auto"/>
          <w:highlight w:val="none"/>
          <w:shd w:val="clear" w:color="auto" w:fill="auto"/>
        </w:rPr>
        <w:t>も念頭におき、十分に対応できる場合に限り応募するようにしてください。</w:t>
      </w:r>
    </w:p>
    <w:p>
      <w:pPr>
        <w:pStyle w:val="0"/>
        <w:rPr>
          <w:rFonts w:hint="eastAsia" w:ascii="ＭＳ ゴシック" w:hAnsi="ＭＳ ゴシック" w:eastAsia="ＭＳ ゴシック"/>
          <w:b w:val="1"/>
          <w:color w:val="auto"/>
        </w:rPr>
      </w:pPr>
    </w:p>
    <w:p>
      <w:pPr>
        <w:pStyle w:val="0"/>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10</w:t>
      </w:r>
      <w:r>
        <w:rPr>
          <w:rFonts w:hint="eastAsia" w:ascii="ＭＳ ゴシック" w:hAnsi="ＭＳ ゴシック" w:eastAsia="ＭＳ ゴシック"/>
          <w:b w:val="1"/>
          <w:color w:val="auto"/>
        </w:rPr>
        <w:t>　応募後のスケジュール</w:t>
      </w:r>
    </w:p>
    <w:tbl>
      <w:tblPr>
        <w:tblStyle w:val="11"/>
        <w:tblW w:w="903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037"/>
        <w:gridCol w:w="5993"/>
      </w:tblGrid>
      <w:tr>
        <w:trPr>
          <w:trHeight w:val="3030" w:hRule="atLeast"/>
        </w:trPr>
        <w:tc>
          <w:tcPr>
            <w:tcW w:w="303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0" w:lineRule="atLeast"/>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応募受付から３～４週間程度</w:t>
            </w:r>
          </w:p>
          <w:p>
            <w:pPr>
              <w:pStyle w:val="0"/>
              <w:spacing w:line="20" w:lineRule="atLeast"/>
              <w:jc w:val="center"/>
              <w:rPr>
                <w:rFonts w:hint="eastAsia" w:ascii="ＭＳ ゴシック" w:hAnsi="ＭＳ ゴシック" w:eastAsia="ＭＳ ゴシック"/>
                <w:color w:val="auto"/>
              </w:rPr>
            </w:pPr>
          </w:p>
          <w:p>
            <w:pPr>
              <w:pStyle w:val="0"/>
              <w:spacing w:line="20" w:lineRule="atLeast"/>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w:t>
            </w:r>
          </w:p>
          <w:p>
            <w:pPr>
              <w:pStyle w:val="0"/>
              <w:spacing w:line="20" w:lineRule="atLeast"/>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専門部会（プレゼンテーション）開催後２～３週間程度</w:t>
            </w:r>
          </w:p>
          <w:p>
            <w:pPr>
              <w:pStyle w:val="0"/>
              <w:spacing w:line="20" w:lineRule="atLeast"/>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w:t>
            </w:r>
          </w:p>
          <w:p>
            <w:pPr>
              <w:pStyle w:val="0"/>
              <w:spacing w:line="20" w:lineRule="atLeast"/>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整備運営事業者決定後</w:t>
            </w:r>
          </w:p>
          <w:p>
            <w:pPr>
              <w:pStyle w:val="0"/>
              <w:spacing w:line="20" w:lineRule="atLeast"/>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w:t>
            </w:r>
          </w:p>
        </w:tc>
        <w:tc>
          <w:tcPr>
            <w:tcW w:w="5993"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0" w:lineRule="atLeast"/>
              <w:rPr>
                <w:rFonts w:hint="eastAsia" w:ascii="ＭＳ ゴシック" w:hAnsi="ＭＳ ゴシック" w:eastAsia="ＭＳ ゴシック"/>
                <w:color w:val="auto"/>
              </w:rPr>
            </w:pPr>
            <w:r>
              <w:rPr>
                <w:rFonts w:hint="eastAsia" w:ascii="ＭＳ ゴシック" w:hAnsi="ＭＳ ゴシック" w:eastAsia="ＭＳ ゴシック"/>
                <w:color w:val="auto"/>
              </w:rPr>
              <w:t>廿日市市保健福祉審議会高齢福祉専門部会開催（事業者によるプレゼンテーションの実施）</w:t>
            </w:r>
          </w:p>
          <w:p>
            <w:pPr>
              <w:pStyle w:val="0"/>
              <w:spacing w:line="20" w:lineRule="atLeast"/>
              <w:rPr>
                <w:rFonts w:hint="eastAsia" w:ascii="ＭＳ ゴシック" w:hAnsi="ＭＳ ゴシック" w:eastAsia="ＭＳ ゴシック"/>
                <w:color w:val="auto"/>
              </w:rPr>
            </w:pPr>
          </w:p>
          <w:p>
            <w:pPr>
              <w:pStyle w:val="0"/>
              <w:spacing w:line="20" w:lineRule="atLeast"/>
              <w:rPr>
                <w:rFonts w:hint="eastAsia" w:ascii="ＭＳ ゴシック" w:hAnsi="ＭＳ ゴシック" w:eastAsia="ＭＳ ゴシック"/>
                <w:color w:val="auto"/>
              </w:rPr>
            </w:pPr>
            <w:r>
              <w:rPr>
                <w:rFonts w:hint="eastAsia" w:ascii="ＭＳ ゴシック" w:hAnsi="ＭＳ ゴシック" w:eastAsia="ＭＳ ゴシック"/>
                <w:color w:val="auto"/>
              </w:rPr>
              <w:t>書類審査結果通知（事業者へ個別通知）</w:t>
            </w:r>
          </w:p>
          <w:p>
            <w:pPr>
              <w:pStyle w:val="0"/>
              <w:spacing w:line="20" w:lineRule="atLeast"/>
              <w:rPr>
                <w:rFonts w:hint="eastAsia" w:ascii="ＭＳ ゴシック" w:hAnsi="ＭＳ ゴシック" w:eastAsia="ＭＳ ゴシック"/>
                <w:color w:val="auto"/>
              </w:rPr>
            </w:pPr>
            <w:r>
              <w:rPr>
                <w:rFonts w:hint="eastAsia" w:ascii="ＭＳ ゴシック" w:hAnsi="ＭＳ ゴシック" w:eastAsia="ＭＳ ゴシック"/>
                <w:color w:val="auto"/>
                <w:highlight w:val="none"/>
              </w:rPr>
              <w:t>整備運営事業者</w:t>
            </w:r>
            <w:r>
              <w:rPr>
                <w:rFonts w:hint="eastAsia" w:ascii="ＭＳ ゴシック" w:hAnsi="ＭＳ ゴシック" w:eastAsia="ＭＳ ゴシック"/>
                <w:color w:val="auto"/>
              </w:rPr>
              <w:t>発表（市ホームページに掲載）</w:t>
            </w:r>
          </w:p>
          <w:p>
            <w:pPr>
              <w:pStyle w:val="0"/>
              <w:spacing w:line="20" w:lineRule="atLeast"/>
              <w:rPr>
                <w:rFonts w:hint="eastAsia" w:ascii="ＭＳ ゴシック" w:hAnsi="ＭＳ ゴシック" w:eastAsia="ＭＳ ゴシック"/>
                <w:color w:val="auto"/>
              </w:rPr>
            </w:pPr>
          </w:p>
          <w:p>
            <w:pPr>
              <w:pStyle w:val="0"/>
              <w:spacing w:line="20" w:lineRule="atLeast"/>
              <w:rPr>
                <w:rFonts w:hint="eastAsia" w:ascii="ＭＳ ゴシック" w:hAnsi="ＭＳ ゴシック" w:eastAsia="ＭＳ ゴシック"/>
                <w:color w:val="auto"/>
              </w:rPr>
            </w:pPr>
            <w:r>
              <w:rPr>
                <w:rFonts w:hint="eastAsia" w:ascii="ＭＳ ゴシック" w:hAnsi="ＭＳ ゴシック" w:eastAsia="ＭＳ ゴシック"/>
                <w:color w:val="auto"/>
                <w:highlight w:val="none"/>
              </w:rPr>
              <w:t>整備運営事業者</w:t>
            </w:r>
            <w:r>
              <w:rPr>
                <w:rFonts w:hint="eastAsia" w:ascii="ＭＳ ゴシック" w:hAnsi="ＭＳ ゴシック" w:eastAsia="ＭＳ ゴシック"/>
                <w:color w:val="auto"/>
              </w:rPr>
              <w:t>による開設準備期間（指定申請手続きを含む）</w:t>
            </w:r>
          </w:p>
          <w:p>
            <w:pPr>
              <w:pStyle w:val="0"/>
              <w:spacing w:line="20" w:lineRule="atLeast"/>
              <w:rPr>
                <w:rFonts w:hint="eastAsia" w:ascii="ＭＳ ゴシック" w:hAnsi="ＭＳ ゴシック" w:eastAsia="ＭＳ ゴシック"/>
                <w:color w:val="auto"/>
              </w:rPr>
            </w:pPr>
            <w:r>
              <w:rPr>
                <w:rFonts w:hint="eastAsia" w:ascii="ＭＳ ゴシック" w:hAnsi="ＭＳ ゴシック" w:eastAsia="ＭＳ ゴシック"/>
                <w:color w:val="auto"/>
              </w:rPr>
              <w:t>事業者指定後サービス提供開始</w:t>
            </w:r>
          </w:p>
          <w:p>
            <w:pPr>
              <w:pStyle w:val="0"/>
              <w:spacing w:line="20" w:lineRule="atLeast"/>
              <w:rPr>
                <w:rFonts w:hint="eastAsia" w:ascii="ＭＳ ゴシック" w:hAnsi="ＭＳ ゴシック" w:eastAsia="ＭＳ ゴシック"/>
                <w:color w:val="auto"/>
              </w:rPr>
            </w:pPr>
            <w:r>
              <w:rPr>
                <w:rFonts w:hint="eastAsia" w:ascii="ＭＳ ゴシック" w:hAnsi="ＭＳ ゴシック" w:eastAsia="ＭＳ ゴシック"/>
                <w:color w:val="auto"/>
              </w:rPr>
              <w:t>（令和９年４月１日指定を含む）</w:t>
            </w:r>
          </w:p>
        </w:tc>
      </w:tr>
    </w:tbl>
    <w:p>
      <w:pPr>
        <w:pStyle w:val="0"/>
        <w:jc w:val="left"/>
        <w:rPr>
          <w:rFonts w:hint="eastAsia" w:ascii="ＭＳ ゴシック" w:hAnsi="ＭＳ ゴシック" w:eastAsia="ＭＳ ゴシック"/>
          <w:b w:val="1"/>
        </w:rPr>
      </w:pPr>
    </w:p>
    <w:p>
      <w:pPr>
        <w:pStyle w:val="0"/>
        <w:ind w:leftChars="0" w:firstLine="0" w:firstLineChars="0"/>
        <w:jc w:val="left"/>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rPr>
        <w:t>11</w:t>
      </w:r>
      <w:r>
        <w:rPr>
          <w:rFonts w:hint="eastAsia" w:ascii="ＭＳ ゴシック" w:hAnsi="ＭＳ ゴシック" w:eastAsia="ＭＳ ゴシック"/>
          <w:b w:val="1"/>
        </w:rPr>
        <w:t>　お問合せ先</w:t>
      </w:r>
      <w:r>
        <w:rPr>
          <w:rFonts w:hint="eastAsia" w:ascii="ＭＳ ゴシック" w:hAnsi="ＭＳ ゴシック" w:eastAsia="ＭＳ ゴシック"/>
          <w:b w:val="1"/>
          <w:color w:val="000000" w:themeColor="text1"/>
        </w:rPr>
        <w:t xml:space="preserve">  </w:t>
      </w:r>
    </w:p>
    <w:p>
      <w:pPr>
        <w:pStyle w:val="0"/>
        <w:ind w:firstLine="420" w:firstLineChars="200"/>
        <w:jc w:val="left"/>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廿日市市健康福祉部高齢介護課</w:t>
      </w:r>
      <w:r>
        <w:rPr>
          <w:rFonts w:hint="eastAsia" w:ascii="ＭＳ ゴシック" w:hAnsi="ＭＳ ゴシック" w:eastAsia="ＭＳ ゴシック"/>
          <w:b w:val="0"/>
          <w:color w:val="000000" w:themeColor="text1"/>
        </w:rPr>
        <w:t xml:space="preserve"> </w:t>
      </w:r>
      <w:r>
        <w:rPr>
          <w:rFonts w:hint="eastAsia" w:ascii="ＭＳ ゴシック" w:hAnsi="ＭＳ ゴシック" w:eastAsia="ＭＳ ゴシック"/>
          <w:b w:val="0"/>
          <w:color w:val="000000" w:themeColor="text1"/>
        </w:rPr>
        <w:t>介護保険係</w:t>
      </w:r>
    </w:p>
    <w:p>
      <w:pPr>
        <w:pStyle w:val="0"/>
        <w:ind w:firstLine="420" w:firstLine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〒７３８－８５１２　廿日市市新宮一丁目１３番１号（山崎本社みんなのあいプラザ３階）</w:t>
      </w:r>
    </w:p>
    <w:p>
      <w:pPr>
        <w:pStyle w:val="0"/>
        <w:ind w:left="0" w:leftChars="0" w:firstLine="630" w:firstLineChars="300"/>
        <w:jc w:val="left"/>
        <w:rPr>
          <w:rFonts w:hint="default"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ＴＥＬ：０８２９－３０－９１５５</w:t>
      </w:r>
    </w:p>
    <w:p>
      <w:pPr>
        <w:pStyle w:val="0"/>
        <w:ind w:left="0" w:leftChars="0" w:firstLine="630" w:firstLineChars="300"/>
        <w:jc w:val="left"/>
        <w:rPr>
          <w:rFonts w:hint="default"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ＦＡＸ：０８２９－２０－１６１１</w:t>
      </w:r>
    </w:p>
    <w:p>
      <w:pPr>
        <w:pStyle w:val="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電子メール：</w:t>
      </w:r>
      <w:r>
        <w:rPr>
          <w:rFonts w:hint="eastAsia" w:ascii="ＭＳ ゴシック" w:hAnsi="ＭＳ ゴシック" w:eastAsia="ＭＳ ゴシック"/>
          <w:b w:val="0"/>
          <w:color w:val="000000" w:themeColor="text1"/>
        </w:rPr>
        <w:t>koreikaigo@city.hatsukaichi.lg.jp</w:t>
      </w:r>
    </w:p>
    <w:p>
      <w:pPr>
        <w:pStyle w:val="0"/>
        <w:jc w:val="left"/>
        <w:rPr>
          <w:rFonts w:hint="eastAsia" w:ascii="ＭＳ ゴシック" w:hAnsi="ＭＳ ゴシック" w:eastAsia="ＭＳ ゴシック"/>
          <w:b w:val="1"/>
        </w:rPr>
      </w:pPr>
    </w:p>
    <w:p>
      <w:pPr>
        <w:pStyle w:val="0"/>
        <w:jc w:val="left"/>
        <w:rPr>
          <w:rFonts w:hint="eastAsia" w:ascii="ＭＳ ゴシック" w:hAnsi="ＭＳ ゴシック" w:eastAsia="ＭＳ ゴシック"/>
          <w:b w:val="1"/>
        </w:rPr>
      </w:pPr>
    </w:p>
    <w:p>
      <w:pPr>
        <w:pStyle w:val="0"/>
        <w:jc w:val="left"/>
        <w:rPr>
          <w:rFonts w:hint="eastAsia" w:ascii="ＭＳ ゴシック" w:hAnsi="ＭＳ ゴシック" w:eastAsia="ＭＳ ゴシック"/>
          <w:b w:val="1"/>
        </w:rPr>
      </w:pPr>
      <w:r>
        <w:rPr>
          <w:rFonts w:hint="eastAsia"/>
        </w:rPr>
        <w:br w:type="page"/>
      </w:r>
    </w:p>
    <w:p>
      <w:pPr>
        <w:pStyle w:val="0"/>
        <w:jc w:val="left"/>
        <w:rPr>
          <w:rFonts w:hint="eastAsia" w:ascii="ＭＳ ゴシック" w:hAnsi="ＭＳ ゴシック" w:eastAsia="ＭＳ ゴシック"/>
          <w:b w:val="1"/>
        </w:rPr>
      </w:pPr>
      <w:r>
        <w:rPr>
          <w:rFonts w:hint="eastAsia" w:ascii="ＭＳ ゴシック" w:hAnsi="ＭＳ ゴシック" w:eastAsia="ＭＳ ゴシック"/>
          <w:b w:val="1"/>
        </w:rPr>
        <w:t>12</w:t>
      </w:r>
      <w:r>
        <w:rPr>
          <w:rFonts w:hint="eastAsia" w:ascii="ＭＳ ゴシック" w:hAnsi="ＭＳ ゴシック" w:eastAsia="ＭＳ ゴシック"/>
          <w:b w:val="1"/>
        </w:rPr>
        <w:t>　その他参考情報（第</w:t>
      </w:r>
      <w:r>
        <w:rPr>
          <w:rFonts w:hint="eastAsia" w:ascii="ＭＳ ゴシック" w:hAnsi="ＭＳ ゴシック" w:eastAsia="ＭＳ ゴシック"/>
          <w:b w:val="1"/>
        </w:rPr>
        <w:t>9</w:t>
      </w:r>
      <w:r>
        <w:rPr>
          <w:rFonts w:hint="eastAsia" w:ascii="ＭＳ ゴシック" w:hAnsi="ＭＳ ゴシック" w:eastAsia="ＭＳ ゴシック"/>
          <w:b w:val="1"/>
        </w:rPr>
        <w:t>期廿日市市介護保険事業計画から引用）</w:t>
      </w:r>
    </w:p>
    <w:p>
      <w:pPr>
        <w:pStyle w:val="0"/>
        <w:ind w:firstLine="105" w:firstLineChars="50"/>
        <w:jc w:val="left"/>
        <w:rPr>
          <w:rFonts w:hint="default"/>
          <w:color w:val="000000" w:themeColor="text1"/>
          <w:sz w:val="21"/>
        </w:rPr>
      </w:pPr>
      <w:r>
        <w:rPr>
          <w:rFonts w:hint="eastAsia" w:ascii="ＭＳ ゴシック" w:hAnsi="ＭＳ ゴシック" w:eastAsia="ＭＳ ゴシック"/>
          <w:b w:val="0"/>
        </w:rPr>
        <w:t>(1)</w:t>
      </w:r>
      <w:r>
        <w:rPr>
          <w:rFonts w:hint="eastAsia" w:ascii="ＭＳ ゴシック" w:hAnsi="ＭＳ ゴシック" w:eastAsia="ＭＳ ゴシック"/>
          <w:b w:val="0"/>
        </w:rPr>
        <w:t>　日常生活圏域の概要</w:t>
      </w:r>
      <w:bookmarkStart w:id="1" w:name="_Toc159757636"/>
      <w:bookmarkEnd w:id="1"/>
    </w:p>
    <w:p>
      <w:pPr>
        <w:pStyle w:val="0"/>
        <w:ind w:firstLine="105" w:firstLineChars="50"/>
        <w:jc w:val="left"/>
        <w:rPr>
          <w:rFonts w:hint="default"/>
          <w:color w:val="000000" w:themeColor="text1"/>
          <w:sz w:val="21"/>
        </w:rPr>
      </w:pPr>
    </w:p>
    <w:p>
      <w:pPr>
        <w:pStyle w:val="0"/>
        <w:jc w:val="center"/>
        <w:rPr>
          <w:rFonts w:hint="default"/>
          <w:color w:val="000000" w:themeColor="text1"/>
          <w:sz w:val="21"/>
        </w:rPr>
      </w:pPr>
      <w:r>
        <w:rPr>
          <w:rFonts w:hint="eastAsia" w:ascii="ＭＳ ゴシック" w:hAnsi="ＭＳ ゴシック" w:eastAsia="ＭＳ ゴシック"/>
          <w:color w:val="000000" w:themeColor="text1"/>
          <w:sz w:val="21"/>
        </w:rPr>
        <w:t>図表　日常生活圏域の状況（令和５（</w:t>
      </w:r>
      <w:r>
        <w:rPr>
          <w:rFonts w:hint="eastAsia" w:ascii="ＭＳ ゴシック" w:hAnsi="ＭＳ ゴシック" w:eastAsia="ＭＳ ゴシック"/>
          <w:color w:val="000000" w:themeColor="text1"/>
          <w:sz w:val="21"/>
        </w:rPr>
        <w:t>2023</w:t>
      </w:r>
      <w:r>
        <w:rPr>
          <w:rFonts w:hint="eastAsia" w:ascii="ＭＳ ゴシック" w:hAnsi="ＭＳ ゴシック" w:eastAsia="ＭＳ ゴシック"/>
          <w:color w:val="000000" w:themeColor="text1"/>
          <w:sz w:val="21"/>
        </w:rPr>
        <w:t>）年</w:t>
      </w:r>
      <w:r>
        <w:rPr>
          <w:rFonts w:hint="eastAsia" w:ascii="ＭＳ ゴシック" w:hAnsi="ＭＳ ゴシック" w:eastAsia="ＭＳ ゴシック"/>
          <w:color w:val="000000" w:themeColor="text1"/>
          <w:sz w:val="21"/>
        </w:rPr>
        <w:t>10</w:t>
      </w:r>
      <w:r>
        <w:rPr>
          <w:rFonts w:hint="eastAsia" w:ascii="ＭＳ ゴシック" w:hAnsi="ＭＳ ゴシック" w:eastAsia="ＭＳ ゴシック"/>
          <w:color w:val="000000" w:themeColor="text1"/>
          <w:sz w:val="21"/>
        </w:rPr>
        <w:t>月１日現在）</w:t>
      </w:r>
    </w:p>
    <w:p>
      <w:pPr>
        <w:pStyle w:val="0"/>
        <w:autoSpaceDE w:val="0"/>
        <w:autoSpaceDN w:val="0"/>
        <w:spacing w:line="240" w:lineRule="exact"/>
        <w:ind w:left="425" w:leftChars="193"/>
        <w:jc w:val="right"/>
        <w:rPr>
          <w:rFonts w:hint="default" w:ascii="ＭＳ Ｐゴシック" w:hAnsi="ＭＳ Ｐゴシック" w:eastAsia="ＭＳ Ｐゴシック"/>
          <w:color w:val="000000" w:themeColor="text1"/>
          <w:sz w:val="18"/>
        </w:rPr>
      </w:pPr>
      <w:r>
        <w:rPr>
          <w:rFonts w:hint="eastAsia" w:ascii="ＭＳ Ｐゴシック" w:hAnsi="ＭＳ Ｐゴシック" w:eastAsia="ＭＳ Ｐゴシック"/>
          <w:color w:val="000000" w:themeColor="text1"/>
          <w:sz w:val="18"/>
        </w:rPr>
        <w:t>（単位：人）</w:t>
      </w:r>
    </w:p>
    <w:tbl>
      <w:tblPr>
        <w:tblStyle w:val="42"/>
        <w:tblW w:w="8704" w:type="dxa"/>
        <w:tblInd w:w="421" w:type="dxa"/>
        <w:tblLayout w:type="fixed"/>
        <w:tblLook w:firstRow="1" w:lastRow="0" w:firstColumn="1" w:lastColumn="0" w:noHBand="0" w:noVBand="1" w:val="04A0"/>
      </w:tblPr>
      <w:tblGrid>
        <w:gridCol w:w="1275"/>
        <w:gridCol w:w="2699"/>
        <w:gridCol w:w="990"/>
        <w:gridCol w:w="1210"/>
        <w:gridCol w:w="1191"/>
        <w:gridCol w:w="1339"/>
      </w:tblGrid>
      <w:tr>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ECFF"/>
            <w:vAlign w:val="center"/>
          </w:tcPr>
          <w:p>
            <w:pPr>
              <w:pStyle w:val="28"/>
              <w:tabs>
                <w:tab w:val="left" w:leader="none" w:pos="1100"/>
              </w:tabs>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圏域</w:t>
            </w:r>
          </w:p>
        </w:tc>
        <w:tc>
          <w:tcPr>
            <w:tcW w:w="269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構成される小学校区等</w:t>
            </w:r>
          </w:p>
        </w:tc>
        <w:tc>
          <w:tcPr>
            <w:tcW w:w="99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人口</w:t>
            </w:r>
          </w:p>
        </w:tc>
        <w:tc>
          <w:tcPr>
            <w:tcW w:w="121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高齢者数</w:t>
            </w:r>
          </w:p>
        </w:tc>
        <w:tc>
          <w:tcPr>
            <w:tcW w:w="1191"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高齢化率</w:t>
            </w:r>
          </w:p>
        </w:tc>
        <w:tc>
          <w:tcPr>
            <w:tcW w:w="13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kern w:val="24"/>
                <w:sz w:val="18"/>
              </w:rPr>
            </w:pPr>
            <w:r>
              <w:rPr>
                <w:rFonts w:hint="eastAsia" w:ascii="ＭＳ Ｐゴシック" w:hAnsi="ＭＳ Ｐゴシック" w:eastAsia="ＭＳ Ｐゴシック"/>
                <w:color w:val="000000" w:themeColor="text1"/>
                <w:kern w:val="24"/>
                <w:sz w:val="18"/>
              </w:rPr>
              <w:t>第１号被保険者</w:t>
            </w:r>
          </w:p>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認定者数</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廿日市東部</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佐方・廿日市・平良・原</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31,554</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7,719</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24.5%</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1,425</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廿日市中部</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26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宮内・金剛寺・宮園</w:t>
            </w:r>
          </w:p>
          <w:p>
            <w:pPr>
              <w:pStyle w:val="28"/>
              <w:autoSpaceDE w:val="0"/>
              <w:autoSpaceDN w:val="0"/>
              <w:spacing w:line="26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・四季が丘</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24,035</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7,717</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32.1%</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1,143</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廿日市西部</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26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地御前・阿品台東・阿品台西</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20,180</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7,126</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35.3%</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1,290</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佐伯</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旧佐伯町</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8,890</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3,933</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44.2%</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705</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吉和</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旧吉和村</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573</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299</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52.2%</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77</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大野</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旧大野町</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29,421</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8,990</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30.6%</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1,655</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宮島</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旧宮島町</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1,415</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676</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47.8%</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153</w:t>
            </w:r>
          </w:p>
        </w:tc>
      </w:tr>
    </w:tbl>
    <w:p>
      <w:pPr>
        <w:pStyle w:val="0"/>
        <w:autoSpaceDE w:val="0"/>
        <w:autoSpaceDN w:val="0"/>
        <w:spacing w:before="165" w:beforeLines="50" w:beforeAutospacing="0" w:line="380" w:lineRule="exact"/>
        <w:rPr>
          <w:rFonts w:hint="default"/>
        </w:rPr>
      </w:pPr>
    </w:p>
    <w:p>
      <w:pPr>
        <w:pStyle w:val="0"/>
        <w:widowControl w:val="1"/>
        <w:autoSpaceDE w:val="0"/>
        <w:autoSpaceDN w:val="0"/>
        <w:jc w:val="left"/>
        <w:rPr>
          <w:rFonts w:hint="default"/>
        </w:rPr>
      </w:pPr>
      <w:r>
        <w:rPr>
          <w:rFonts w:hint="eastAsia"/>
        </w:rPr>
        <w:drawing>
          <wp:anchor distT="0" distB="0" distL="203200" distR="203200" simplePos="0" relativeHeight="3" behindDoc="0" locked="0" layoutInCell="1" hidden="0" allowOverlap="1">
            <wp:simplePos x="0" y="0"/>
            <wp:positionH relativeFrom="column">
              <wp:posOffset>711200</wp:posOffset>
            </wp:positionH>
            <wp:positionV relativeFrom="paragraph">
              <wp:posOffset>71120</wp:posOffset>
            </wp:positionV>
            <wp:extent cx="5020310" cy="3876675"/>
            <wp:effectExtent l="0" t="0" r="0" b="0"/>
            <wp:wrapNone/>
            <wp:docPr id="1027" name="オブジェクト 0"/>
            <a:graphic xmlns:a="http://schemas.openxmlformats.org/drawingml/2006/main">
              <a:graphicData uri="http://schemas.openxmlformats.org/drawingml/2006/picture">
                <pic:pic xmlns:pic="http://schemas.openxmlformats.org/drawingml/2006/picture">
                  <pic:nvPicPr>
                    <pic:cNvPr id="1027" name="オブジェクト 0"/>
                    <pic:cNvPicPr>
                      <a:picLocks noChangeAspect="1"/>
                    </pic:cNvPicPr>
                  </pic:nvPicPr>
                  <pic:blipFill>
                    <a:blip r:embed="rId10"/>
                    <a:stretch>
                      <a:fillRect/>
                    </a:stretch>
                  </pic:blipFill>
                  <pic:spPr>
                    <a:xfrm>
                      <a:off x="0" y="0"/>
                      <a:ext cx="5020310" cy="3876675"/>
                    </a:xfrm>
                    <a:prstGeom prst="rect">
                      <a:avLst/>
                    </a:prstGeom>
                  </pic:spPr>
                </pic:pic>
              </a:graphicData>
            </a:graphic>
          </wp:anchor>
        </w:drawing>
      </w:r>
      <w:r>
        <w:rPr>
          <w:rFonts w:hint="default"/>
        </w:rPr>
        <w:br w:type="page"/>
      </w:r>
    </w:p>
    <w:p>
      <w:pPr>
        <w:pStyle w:val="0"/>
        <w:autoSpaceDE w:val="0"/>
        <w:autoSpaceDN w:val="0"/>
        <w:spacing w:before="165" w:beforeLines="50" w:beforeAutospacing="0" w:line="380" w:lineRule="exact"/>
        <w:ind w:left="0" w:leftChars="0" w:firstLine="105" w:firstLineChars="50"/>
        <w:rPr>
          <w:rFonts w:hint="default"/>
          <w:sz w:val="21"/>
        </w:rPr>
      </w:pPr>
      <w:bookmarkStart w:id="2" w:name="_Toc150813509"/>
      <w:bookmarkEnd w:id="2"/>
      <w:bookmarkStart w:id="3" w:name="_Toc155873038"/>
      <w:bookmarkEnd w:id="3"/>
      <w:bookmarkStart w:id="4" w:name="_Toc159757638"/>
      <w:bookmarkEnd w:id="4"/>
      <w:r>
        <w:rPr>
          <w:rFonts w:hint="eastAsia" w:ascii="ＭＳ ゴシック" w:hAnsi="ＭＳ ゴシック" w:eastAsia="ＭＳ ゴシック"/>
          <w:sz w:val="21"/>
        </w:rPr>
        <w:t>(2)</w:t>
      </w:r>
      <w:r>
        <w:rPr>
          <w:rFonts w:hint="eastAsia" w:ascii="ＭＳ ゴシック" w:hAnsi="ＭＳ ゴシック" w:eastAsia="ＭＳ ゴシック"/>
          <w:sz w:val="21"/>
        </w:rPr>
        <w:t>　日常生活圏域別人口の推移と推計</w:t>
      </w:r>
    </w:p>
    <w:p>
      <w:pPr>
        <w:pStyle w:val="0"/>
        <w:autoSpaceDE w:val="0"/>
        <w:autoSpaceDN w:val="0"/>
        <w:spacing w:before="165" w:beforeLines="50" w:beforeAutospacing="0" w:line="380" w:lineRule="exact"/>
        <w:ind w:left="425" w:leftChars="193"/>
        <w:jc w:val="center"/>
        <w:rPr>
          <w:rFonts w:hint="default"/>
          <w:sz w:val="21"/>
        </w:rPr>
      </w:pPr>
    </w:p>
    <w:p>
      <w:pPr>
        <w:pStyle w:val="0"/>
        <w:autoSpaceDE w:val="0"/>
        <w:autoSpaceDN w:val="0"/>
        <w:spacing w:before="165" w:beforeLines="50" w:beforeAutospacing="0" w:line="380" w:lineRule="exact"/>
        <w:ind w:left="425" w:leftChars="193"/>
        <w:jc w:val="center"/>
        <w:rPr>
          <w:rFonts w:hint="default"/>
          <w:sz w:val="21"/>
        </w:rPr>
      </w:pPr>
      <w:r>
        <w:rPr>
          <w:rFonts w:hint="eastAsia" w:ascii="ＭＳ ゴシック" w:hAnsi="ＭＳ ゴシック" w:eastAsia="ＭＳ ゴシック"/>
          <w:sz w:val="21"/>
        </w:rPr>
        <w:t>図表　日常生活圏域別人口の推移・推計（廿日市市）</w:t>
      </w:r>
    </w:p>
    <w:p>
      <w:pPr>
        <w:pStyle w:val="0"/>
        <w:autoSpaceDE w:val="0"/>
        <w:autoSpaceDN w:val="0"/>
        <w:spacing w:line="240" w:lineRule="exact"/>
        <w:ind w:left="425" w:leftChars="193"/>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（単位：人）</w:t>
      </w:r>
    </w:p>
    <w:tbl>
      <w:tblPr>
        <w:tblStyle w:val="42"/>
        <w:tblW w:w="8640" w:type="dxa"/>
        <w:tblInd w:w="421" w:type="dxa"/>
        <w:tblLayout w:type="fixed"/>
        <w:tblLook w:firstRow="1" w:lastRow="0" w:firstColumn="1" w:lastColumn="0" w:noHBand="0" w:noVBand="1" w:val="04A0"/>
      </w:tblPr>
      <w:tblGrid>
        <w:gridCol w:w="463"/>
        <w:gridCol w:w="257"/>
        <w:gridCol w:w="1081"/>
        <w:gridCol w:w="977"/>
        <w:gridCol w:w="977"/>
        <w:gridCol w:w="977"/>
        <w:gridCol w:w="977"/>
        <w:gridCol w:w="977"/>
        <w:gridCol w:w="977"/>
        <w:gridCol w:w="977"/>
      </w:tblGrid>
      <w:tr>
        <w:trPr>
          <w:trHeight w:val="283" w:hRule="atLeast"/>
        </w:trPr>
        <w:tc>
          <w:tcPr>
            <w:tcW w:w="1801" w:type="dxa"/>
            <w:gridSpan w:val="3"/>
            <w:vMerge w:val="restart"/>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圏域</w:t>
            </w:r>
          </w:p>
        </w:tc>
        <w:tc>
          <w:tcPr>
            <w:tcW w:w="2931"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実績値</w:t>
            </w:r>
          </w:p>
        </w:tc>
        <w:tc>
          <w:tcPr>
            <w:tcW w:w="3908" w:type="dxa"/>
            <w:gridSpan w:val="4"/>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推計値</w:t>
            </w:r>
          </w:p>
        </w:tc>
      </w:tr>
      <w:tr>
        <w:trPr>
          <w:trHeight w:val="454" w:hRule="atLeast"/>
        </w:trPr>
        <w:tc>
          <w:tcPr>
            <w:tcW w:w="1801" w:type="dxa"/>
            <w:gridSpan w:val="3"/>
            <w:vMerge w:val="continue"/>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sz w:val="18"/>
              </w:rPr>
            </w:pP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3</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(2021</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4</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(2022</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5</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(2023</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7</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(2025</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12</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(2030</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17</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(2035</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22</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(2040</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廿日市東部</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2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31,653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31,559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31,554</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31,533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31,303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30,874</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30,285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autoSpaceDE w:val="0"/>
              <w:autoSpaceDN w:val="0"/>
              <w:spacing w:line="22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7,667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7,704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7,719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7,786</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8,099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8,510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9,139</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continue"/>
            <w:tcBorders>
              <w:top w:val="nil"/>
              <w:left w:val="none" w:color="auto" w:sz="0" w:space="0"/>
              <w:bottom w:val="none" w:color="auto" w:sz="0" w:space="0"/>
              <w:right w:val="single" w:color="auto" w:sz="4" w:space="0"/>
              <w:tl2br w:val="none" w:color="auto" w:sz="0" w:space="0"/>
              <w:tr2bl w:val="none" w:color="auto" w:sz="0" w:space="0"/>
            </w:tcBorders>
            <w:vAlign w:val="center"/>
          </w:tcPr>
          <w:p>
            <w:pPr>
              <w:pStyle w:val="0"/>
              <w:autoSpaceDE w:val="0"/>
              <w:autoSpaceDN w:val="0"/>
              <w:spacing w:line="22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24.5%</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24.7%</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25.9%</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27.6%</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30.2%</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autoSpaceDE w:val="0"/>
              <w:autoSpaceDN w:val="0"/>
              <w:spacing w:line="22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3,960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4,146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4,292</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4,577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4,777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4,722</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4,755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12.5%</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13.1%</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13.6%</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14.5%</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15.3%</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15.3%</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15.7%</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廿日市中部</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24,028</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23,968</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24,035</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23,960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23,590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22,862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21,770</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7,303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7,516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7,717</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8,074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8,460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8,288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8,081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32.1%</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33.7</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35.9</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36.3</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37.1%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2,977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3,171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3,363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3,851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4,839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5,449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5,353</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12.4%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13.2%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16.1</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20.5</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23.8</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24.6%</w:t>
            </w:r>
          </w:p>
        </w:tc>
      </w:tr>
      <w:tr>
        <w:trPr>
          <w:cantSplit/>
          <w:trHeight w:val="261"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廿日市西部</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20,362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20,350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20,180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19,955</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19,201</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18,250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17,175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7,011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7,078</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7,126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7,176</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7,039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6,818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6,686</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34.8%</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35.3%</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36.0</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36.7</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37.4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38.9%</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3,368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3,623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3,841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4,272</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4,742</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4,663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4,242</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16.5%</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17.8%</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21.4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24.7</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25.6</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24.7%</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佐伯</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9,247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9,088</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8,890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8,512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7,544</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6,592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5,636</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3,954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3,956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3,933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3,895</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3,634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3,383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3,075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42.8%</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43.5%</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44.2%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45.8</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48.2%</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51.3</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54.6%</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1,965</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2,039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2,121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2,254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2,353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2,251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1,977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21.3%</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22.4%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23.9%</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26.5</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31.2</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34.1</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35.1%</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吉和</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609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589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573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567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431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271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250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253</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51.4%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52.0%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52.6</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52.2</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58.7%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197</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180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168</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151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33.0%</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34.4%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36.0</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34.8</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35.1</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35.0%</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大野</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29,427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29,366</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29,421</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29,359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28,981</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28,287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27,367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8,914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8,955</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8,990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9,019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8,990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9,031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9,297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30.3%</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30.5%</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30.6%</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30.7</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31.0</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31.9</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34.0%</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4,644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4,904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5,118</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5,522</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5,793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5,650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5,308</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15.8%</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16.7%</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17.4%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18.8</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20.0</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20.0</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19.4%</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宮島</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1,462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1,440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1,415</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1,392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1,322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1,186</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701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693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676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660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581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462</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47.9%</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48.1%</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47.8%</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43.9</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40.4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39.0%</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435</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371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300</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28.8%</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29.6%</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30.7%</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32.9</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32.6</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25.3%</w:t>
            </w:r>
          </w:p>
        </w:tc>
      </w:tr>
    </w:tbl>
    <w:p>
      <w:pPr>
        <w:pStyle w:val="0"/>
        <w:widowControl w:val="1"/>
        <w:autoSpaceDE w:val="0"/>
        <w:autoSpaceDN w:val="0"/>
        <w:spacing w:before="66" w:beforeLines="20" w:beforeAutospacing="0" w:line="220" w:lineRule="exact"/>
        <w:ind w:left="850" w:leftChars="182" w:hanging="450" w:hangingChars="250"/>
        <w:jc w:val="left"/>
        <w:rPr>
          <w:rFonts w:hint="default" w:ascii="BIZ UDPゴシック" w:hAnsi="BIZ UDPゴシック" w:eastAsia="BIZ UDPゴシック"/>
        </w:rPr>
      </w:pPr>
      <w:r>
        <w:rPr>
          <w:rFonts w:hint="eastAsia" w:ascii="BIZ UDPゴシック" w:hAnsi="BIZ UDPゴシック" w:eastAsia="BIZ UDPゴシック"/>
          <w:sz w:val="18"/>
        </w:rPr>
        <w:t>資料：令和３年から令和５</w:t>
      </w:r>
      <w:r>
        <w:rPr>
          <w:rFonts w:hint="default" w:ascii="BIZ UDPゴシック" w:hAnsi="BIZ UDPゴシック" w:eastAsia="BIZ UDPゴシック"/>
          <w:sz w:val="18"/>
        </w:rPr>
        <w:t>年住民基本台帳人口（</w:t>
      </w:r>
      <w:r>
        <w:rPr>
          <w:rFonts w:hint="eastAsia" w:ascii="BIZ UDPゴシック" w:hAnsi="BIZ UDPゴシック" w:eastAsia="BIZ UDPゴシック"/>
          <w:sz w:val="18"/>
        </w:rPr>
        <w:t>各年</w:t>
      </w:r>
      <w:r>
        <w:rPr>
          <w:rFonts w:hint="default" w:ascii="BIZ UDPゴシック" w:hAnsi="BIZ UDPゴシック" w:eastAsia="BIZ UDPゴシック"/>
          <w:sz w:val="18"/>
        </w:rPr>
        <w:t>10</w:t>
      </w:r>
      <w:r>
        <w:rPr>
          <w:rFonts w:hint="default" w:ascii="BIZ UDPゴシック" w:hAnsi="BIZ UDPゴシック" w:eastAsia="BIZ UDPゴシック"/>
          <w:sz w:val="18"/>
        </w:rPr>
        <w:t>月</w:t>
      </w:r>
      <w:r>
        <w:rPr>
          <w:rFonts w:hint="eastAsia" w:ascii="BIZ UDPゴシック" w:hAnsi="BIZ UDPゴシック" w:eastAsia="BIZ UDPゴシック"/>
          <w:sz w:val="18"/>
        </w:rPr>
        <w:t>１</w:t>
      </w:r>
      <w:r>
        <w:rPr>
          <w:rFonts w:hint="default" w:ascii="BIZ UDPゴシック" w:hAnsi="BIZ UDPゴシック" w:eastAsia="BIZ UDPゴシック"/>
          <w:sz w:val="18"/>
        </w:rPr>
        <w:t>日現在）・令和</w:t>
      </w:r>
      <w:r>
        <w:rPr>
          <w:rFonts w:hint="eastAsia" w:ascii="BIZ UDPゴシック" w:hAnsi="BIZ UDPゴシック" w:eastAsia="BIZ UDPゴシック"/>
          <w:sz w:val="18"/>
        </w:rPr>
        <w:t>７</w:t>
      </w:r>
      <w:r>
        <w:rPr>
          <w:rFonts w:hint="default" w:ascii="BIZ UDPゴシック" w:hAnsi="BIZ UDPゴシック" w:eastAsia="BIZ UDPゴシック"/>
          <w:sz w:val="18"/>
        </w:rPr>
        <w:t>年</w:t>
      </w:r>
      <w:r>
        <w:rPr>
          <w:rFonts w:hint="eastAsia" w:ascii="BIZ UDPゴシック" w:hAnsi="BIZ UDPゴシック" w:eastAsia="BIZ UDPゴシック"/>
          <w:sz w:val="18"/>
        </w:rPr>
        <w:t>から</w:t>
      </w:r>
      <w:r>
        <w:rPr>
          <w:rFonts w:hint="default" w:ascii="BIZ UDPゴシック" w:hAnsi="BIZ UDPゴシック" w:eastAsia="BIZ UDPゴシック"/>
          <w:sz w:val="18"/>
        </w:rPr>
        <w:t>住民基本台帳人口を基として推計した圏域別人口割合を市全体の推計値に按分して算出</w:t>
      </w:r>
      <w:r>
        <w:rPr>
          <w:rFonts w:hint="default" w:ascii="BIZ UDPゴシック" w:hAnsi="BIZ UDPゴシック" w:eastAsia="BIZ UDPゴシック"/>
        </w:rPr>
        <w:br w:type="page"/>
      </w:r>
    </w:p>
    <w:p>
      <w:pPr>
        <w:pStyle w:val="19"/>
        <w:spacing w:before="190" w:beforeLines="0" w:beforeAutospacing="0"/>
        <w:ind w:left="0" w:leftChars="0" w:right="84" w:rightChars="40" w:firstLineChars="0"/>
        <w:jc w:val="both"/>
        <w:rPr>
          <w:rFonts w:hint="eastAsia" w:ascii="ＭＳ ゴシック" w:hAnsi="ＭＳ ゴシック" w:eastAsia="ＭＳ ゴシック"/>
          <w:sz w:val="21"/>
        </w:rPr>
      </w:pPr>
      <w:bookmarkStart w:id="5" w:name="_Toc150813510"/>
      <w:bookmarkEnd w:id="5"/>
      <w:bookmarkStart w:id="6" w:name="_Toc155873039"/>
      <w:bookmarkEnd w:id="6"/>
      <w:r>
        <w:rPr>
          <w:rFonts w:hint="eastAsia" w:ascii="ＭＳ ゴシック" w:hAnsi="ＭＳ ゴシック" w:eastAsia="ＭＳ ゴシック"/>
          <w:sz w:val="21"/>
        </w:rPr>
        <w:t xml:space="preserve"> (3)</w:t>
      </w:r>
      <w:r>
        <w:rPr>
          <w:rFonts w:hint="eastAsia" w:ascii="ＭＳ ゴシック" w:hAnsi="ＭＳ ゴシック" w:eastAsia="ＭＳ ゴシック"/>
          <w:sz w:val="21"/>
        </w:rPr>
        <w:t>　日常生活圏域別の介護サービス事業所数</w:t>
      </w:r>
    </w:p>
    <w:p>
      <w:pPr>
        <w:pStyle w:val="19"/>
        <w:spacing w:before="190" w:beforeLines="0" w:beforeAutospacing="0"/>
        <w:jc w:val="center"/>
        <w:rPr>
          <w:rFonts w:hint="default" w:ascii="BIZ UDゴシック" w:hAnsi="BIZ UDゴシック" w:eastAsia="BIZ UDゴシック"/>
        </w:rPr>
      </w:pPr>
      <w:r>
        <w:rPr>
          <w:rFonts w:hint="eastAsia" w:ascii="ＭＳ ゴシック" w:hAnsi="ＭＳ ゴシック" w:eastAsia="ＭＳ ゴシック"/>
        </w:rPr>
        <w:t>図表　日常生活圏域別介護サービ</w:t>
      </w:r>
      <w:r>
        <w:rPr>
          <w:rStyle w:val="39"/>
          <w:rFonts w:hint="eastAsia" w:ascii="ＭＳ ゴシック" w:hAnsi="ＭＳ ゴシック" w:eastAsia="ＭＳ ゴシック"/>
        </w:rPr>
        <w:t>ス事業所数（令和５（</w:t>
      </w:r>
      <w:r>
        <w:rPr>
          <w:rStyle w:val="39"/>
          <w:rFonts w:hint="eastAsia" w:ascii="ＭＳ ゴシック" w:hAnsi="ＭＳ ゴシック" w:eastAsia="ＭＳ ゴシック"/>
        </w:rPr>
        <w:t>2023</w:t>
      </w:r>
      <w:r>
        <w:rPr>
          <w:rStyle w:val="39"/>
          <w:rFonts w:hint="eastAsia" w:ascii="ＭＳ ゴシック" w:hAnsi="ＭＳ ゴシック" w:eastAsia="ＭＳ ゴシック"/>
        </w:rPr>
        <w:t>）年４月１日現在）</w:t>
      </w:r>
    </w:p>
    <w:p>
      <w:pPr>
        <w:pStyle w:val="0"/>
        <w:autoSpaceDE w:val="0"/>
        <w:autoSpaceDN w:val="0"/>
        <w:spacing w:line="240" w:lineRule="exact"/>
        <w:ind w:left="425" w:leftChars="193"/>
        <w:jc w:val="right"/>
        <w:rPr>
          <w:rFonts w:hint="default" w:ascii="ＭＳ Ｐゴシック" w:hAnsi="ＭＳ Ｐゴシック" w:eastAsia="ＭＳ Ｐゴシック"/>
          <w:color w:val="000000" w:themeColor="text1"/>
          <w:sz w:val="18"/>
        </w:rPr>
      </w:pPr>
      <w:r>
        <w:rPr>
          <w:rFonts w:hint="eastAsia" w:ascii="ＭＳ Ｐゴシック" w:hAnsi="ＭＳ Ｐゴシック" w:eastAsia="ＭＳ Ｐゴシック"/>
          <w:color w:val="000000" w:themeColor="text1"/>
          <w:sz w:val="18"/>
        </w:rPr>
        <w:t>（単位：事業所）</w:t>
      </w:r>
    </w:p>
    <w:tbl>
      <w:tblPr>
        <w:tblStyle w:val="42"/>
        <w:tblW w:w="8640" w:type="dxa"/>
        <w:tblInd w:w="421" w:type="dxa"/>
        <w:tblLayout w:type="fixed"/>
        <w:tblLook w:firstRow="1" w:lastRow="0" w:firstColumn="1" w:lastColumn="0" w:noHBand="0" w:noVBand="1" w:val="04A0"/>
      </w:tblPr>
      <w:tblGrid>
        <w:gridCol w:w="850"/>
        <w:gridCol w:w="2410"/>
        <w:gridCol w:w="672"/>
        <w:gridCol w:w="702"/>
        <w:gridCol w:w="643"/>
        <w:gridCol w:w="673"/>
        <w:gridCol w:w="672"/>
        <w:gridCol w:w="673"/>
        <w:gridCol w:w="672"/>
        <w:gridCol w:w="673"/>
      </w:tblGrid>
      <w:tr>
        <w:trPr/>
        <w:tc>
          <w:tcPr>
            <w:tcW w:w="850" w:type="dxa"/>
            <w:tcBorders>
              <w:top w:val="single" w:color="auto" w:sz="4" w:space="0"/>
              <w:left w:val="none" w:color="auto" w:sz="0" w:space="0"/>
              <w:bottom w:val="single" w:color="auto" w:sz="4" w:space="0"/>
              <w:right w:val="single" w:color="auto" w:sz="4" w:space="0"/>
              <w:tl2br w:val="none" w:color="auto" w:sz="0" w:space="0"/>
              <w:tr2bl w:val="none" w:color="auto" w:sz="0" w:space="0"/>
            </w:tcBorders>
            <w:shd w:val="clear" w:color="auto" w:fill="CCECFF"/>
            <w:vAlign w:val="top"/>
          </w:tcPr>
          <w:p>
            <w:pPr>
              <w:pStyle w:val="0"/>
              <w:autoSpaceDE w:val="0"/>
              <w:autoSpaceDN w:val="0"/>
              <w:spacing w:line="260" w:lineRule="exact"/>
              <w:ind w:left="440"/>
              <w:jc w:val="center"/>
              <w:rPr>
                <w:rFonts w:hint="default" w:ascii="ＭＳ Ｐゴシック" w:hAnsi="ＭＳ Ｐゴシック" w:eastAsia="ＭＳ Ｐゴシック"/>
                <w:color w:val="000000" w:themeColor="text1"/>
                <w:sz w:val="20"/>
              </w:rPr>
            </w:pPr>
          </w:p>
        </w:tc>
        <w:tc>
          <w:tcPr>
            <w:tcW w:w="24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top"/>
          </w:tcPr>
          <w:p>
            <w:pPr>
              <w:pStyle w:val="0"/>
              <w:autoSpaceDE w:val="0"/>
              <w:autoSpaceDN w:val="0"/>
              <w:spacing w:line="260" w:lineRule="exact"/>
              <w:ind w:left="440"/>
              <w:jc w:val="center"/>
              <w:rPr>
                <w:rFonts w:hint="default" w:ascii="ＭＳ Ｐゴシック" w:hAnsi="ＭＳ Ｐゴシック" w:eastAsia="ＭＳ Ｐゴシック"/>
                <w:color w:val="000000" w:themeColor="text1"/>
                <w:sz w:val="20"/>
              </w:rPr>
            </w:pPr>
          </w:p>
        </w:tc>
        <w:tc>
          <w:tcPr>
            <w:tcW w:w="67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kern w:val="0"/>
                <w:sz w:val="20"/>
              </w:rPr>
            </w:pPr>
            <w:r>
              <w:rPr>
                <w:rFonts w:hint="eastAsia" w:ascii="ＭＳ Ｐゴシック" w:hAnsi="ＭＳ Ｐゴシック" w:eastAsia="ＭＳ Ｐゴシック"/>
                <w:color w:val="000000" w:themeColor="text1"/>
                <w:kern w:val="24"/>
                <w:sz w:val="20"/>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東部</w:t>
            </w:r>
          </w:p>
        </w:tc>
        <w:tc>
          <w:tcPr>
            <w:tcW w:w="70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kern w:val="0"/>
                <w:sz w:val="20"/>
              </w:rPr>
            </w:pPr>
            <w:r>
              <w:rPr>
                <w:rFonts w:hint="eastAsia" w:ascii="ＭＳ Ｐゴシック" w:hAnsi="ＭＳ Ｐゴシック" w:eastAsia="ＭＳ Ｐゴシック"/>
                <w:color w:val="000000" w:themeColor="text1"/>
                <w:kern w:val="24"/>
                <w:sz w:val="20"/>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中部</w:t>
            </w:r>
          </w:p>
        </w:tc>
        <w:tc>
          <w:tcPr>
            <w:tcW w:w="6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kern w:val="0"/>
                <w:sz w:val="20"/>
              </w:rPr>
            </w:pPr>
            <w:r>
              <w:rPr>
                <w:rFonts w:hint="eastAsia" w:ascii="ＭＳ Ｐゴシック" w:hAnsi="ＭＳ Ｐゴシック" w:eastAsia="ＭＳ Ｐゴシック"/>
                <w:color w:val="000000" w:themeColor="text1"/>
                <w:kern w:val="24"/>
                <w:sz w:val="20"/>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西部</w:t>
            </w:r>
          </w:p>
        </w:tc>
        <w:tc>
          <w:tcPr>
            <w:tcW w:w="6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佐伯</w:t>
            </w:r>
          </w:p>
        </w:tc>
        <w:tc>
          <w:tcPr>
            <w:tcW w:w="67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吉和</w:t>
            </w:r>
          </w:p>
        </w:tc>
        <w:tc>
          <w:tcPr>
            <w:tcW w:w="6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大野</w:t>
            </w:r>
          </w:p>
        </w:tc>
        <w:tc>
          <w:tcPr>
            <w:tcW w:w="67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宮島</w:t>
            </w:r>
          </w:p>
        </w:tc>
        <w:tc>
          <w:tcPr>
            <w:tcW w:w="6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計</w:t>
            </w:r>
          </w:p>
        </w:tc>
      </w:tr>
      <w:tr>
        <w:trPr>
          <w:cantSplit/>
          <w:trHeight w:val="397" w:hRule="atLeast"/>
        </w:trPr>
        <w:tc>
          <w:tcPr>
            <w:tcW w:w="850"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themeFill="accent1" w:themeFillTint="33" w:themeFillShade="FF"/>
            <w:textDirection w:val="tbRlV"/>
            <w:vAlign w:val="center"/>
          </w:tcPr>
          <w:p>
            <w:pPr>
              <w:pStyle w:val="0"/>
              <w:autoSpaceDE w:val="0"/>
              <w:autoSpaceDN w:val="0"/>
              <w:ind w:left="-44" w:leftChars="-20" w:right="-44" w:rightChars="-2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介護（介護予防）サービス</w:t>
            </w: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居宅介護支援</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10</w:t>
            </w:r>
          </w:p>
        </w:tc>
        <w:tc>
          <w:tcPr>
            <w:tcW w:w="70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6</w:t>
            </w:r>
          </w:p>
        </w:tc>
        <w:tc>
          <w:tcPr>
            <w:tcW w:w="64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6</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8</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34</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10</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28</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訪問入浴介護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17</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訪問リハビリテーション</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通所介護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6</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21</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通所リハビリテーション</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短期入所生活介護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16</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短期入所療養介護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福祉用具貸与</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特定施設入居者生活介護</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70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計</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46</w:t>
            </w:r>
          </w:p>
        </w:tc>
        <w:tc>
          <w:tcPr>
            <w:tcW w:w="70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29</w:t>
            </w:r>
          </w:p>
        </w:tc>
        <w:tc>
          <w:tcPr>
            <w:tcW w:w="64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29</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28</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145</w:t>
            </w:r>
          </w:p>
        </w:tc>
      </w:tr>
      <w:tr>
        <w:trPr>
          <w:cantSplit/>
          <w:trHeight w:val="397" w:hRule="atLeast"/>
        </w:trPr>
        <w:tc>
          <w:tcPr>
            <w:tcW w:w="850" w:type="dxa"/>
            <w:vMerge w:val="restart"/>
            <w:shd w:val="clear" w:color="auto" w:themeFill="accent1" w:themeFillTint="33" w:themeFillShade="FF"/>
            <w:textDirection w:val="tbRlV"/>
            <w:vAlign w:val="center"/>
          </w:tcPr>
          <w:p>
            <w:pPr>
              <w:pStyle w:val="0"/>
              <w:autoSpaceDE w:val="0"/>
              <w:autoSpaceDN w:val="0"/>
              <w:ind w:left="-44" w:leftChars="-20" w:right="-44" w:rightChars="-2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地域密着型サービス</w:t>
            </w:r>
          </w:p>
        </w:tc>
        <w:tc>
          <w:tcPr>
            <w:tcW w:w="24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70"/>
                <w:sz w:val="20"/>
              </w:rPr>
            </w:pPr>
            <w:r>
              <w:rPr>
                <w:rFonts w:hint="eastAsia" w:ascii="ＭＳ Ｐゴシック" w:hAnsi="ＭＳ Ｐゴシック" w:eastAsia="ＭＳ Ｐゴシック"/>
                <w:color w:val="000000" w:themeColor="text1"/>
                <w:w w:val="70"/>
                <w:sz w:val="20"/>
              </w:rPr>
              <w:t>定期巡回・随時対応型訪問介護看護</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70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認知症対応型通所介護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地域密着型通所介護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20</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90"/>
                <w:sz w:val="20"/>
              </w:rPr>
            </w:pPr>
            <w:r>
              <w:rPr>
                <w:rFonts w:hint="eastAsia" w:ascii="ＭＳ Ｐゴシック" w:hAnsi="ＭＳ Ｐゴシック" w:eastAsia="ＭＳ Ｐゴシック"/>
                <w:color w:val="000000" w:themeColor="text1"/>
                <w:w w:val="90"/>
                <w:sz w:val="20"/>
              </w:rPr>
              <w:t>認知症対応型共同生活介護</w:t>
            </w:r>
          </w:p>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90"/>
                <w:sz w:val="20"/>
              </w:rPr>
            </w:pPr>
            <w:r>
              <w:rPr>
                <w:rFonts w:hint="eastAsia" w:ascii="ＭＳ Ｐゴシック" w:hAnsi="ＭＳ Ｐゴシック" w:eastAsia="ＭＳ Ｐゴシック"/>
                <w:color w:val="000000" w:themeColor="text1"/>
                <w:w w:val="90"/>
                <w:sz w:val="20"/>
              </w:rPr>
              <w:t>（グループホーム）</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小規模多機能型居宅介護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複合型サービス</w:t>
            </w:r>
          </w:p>
          <w:p>
            <w:pPr>
              <w:pStyle w:val="0"/>
              <w:autoSpaceDE w:val="0"/>
              <w:autoSpaceDN w:val="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pacing w:val="0"/>
                <w:w w:val="78"/>
                <w:kern w:val="0"/>
                <w:sz w:val="20"/>
                <w:fitText w:val="2200" w:id="1"/>
              </w:rPr>
              <w:t>（介護小規模多機能型居宅介護</w:t>
            </w:r>
            <w:r>
              <w:rPr>
                <w:rFonts w:hint="eastAsia" w:ascii="ＭＳ Ｐゴシック" w:hAnsi="ＭＳ Ｐゴシック" w:eastAsia="ＭＳ Ｐゴシック"/>
                <w:color w:val="000000" w:themeColor="text1"/>
                <w:spacing w:val="24"/>
                <w:w w:val="78"/>
                <w:kern w:val="0"/>
                <w:sz w:val="20"/>
                <w:fitText w:val="2200" w:id="1"/>
              </w:rPr>
              <w:t>）</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55"/>
                <w:sz w:val="20"/>
              </w:rPr>
            </w:pPr>
            <w:r>
              <w:rPr>
                <w:rFonts w:hint="eastAsia" w:ascii="ＭＳ Ｐゴシック" w:hAnsi="ＭＳ Ｐゴシック" w:eastAsia="ＭＳ Ｐゴシック"/>
                <w:color w:val="000000" w:themeColor="text1"/>
                <w:w w:val="55"/>
                <w:sz w:val="20"/>
              </w:rPr>
              <w:t>地域密着型介護老人福祉施設入所者生活介護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70"/>
                <w:sz w:val="20"/>
              </w:rPr>
            </w:pPr>
            <w:r>
              <w:rPr>
                <w:rFonts w:hint="eastAsia" w:ascii="ＭＳ Ｐゴシック" w:hAnsi="ＭＳ Ｐゴシック" w:eastAsia="ＭＳ Ｐゴシック"/>
                <w:color w:val="000000" w:themeColor="text1"/>
                <w:w w:val="70"/>
                <w:sz w:val="20"/>
              </w:rPr>
              <w:t>地域密着型特定施設入居者生活介護</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4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double" w:color="auto" w:sz="4" w:space="0"/>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計</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12</w:t>
            </w:r>
          </w:p>
        </w:tc>
        <w:tc>
          <w:tcPr>
            <w:tcW w:w="70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c>
          <w:tcPr>
            <w:tcW w:w="64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8</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45</w:t>
            </w:r>
          </w:p>
        </w:tc>
      </w:tr>
      <w:tr>
        <w:trPr>
          <w:cantSplit/>
          <w:trHeight w:val="397" w:hRule="atLeast"/>
        </w:trPr>
        <w:tc>
          <w:tcPr>
            <w:tcW w:w="850" w:type="dxa"/>
            <w:vMerge w:val="restart"/>
            <w:tcBorders>
              <w:top w:val="none" w:color="auto" w:sz="0" w:space="0"/>
              <w:left w:val="none" w:color="auto" w:sz="0" w:space="0"/>
              <w:bottom w:val="double" w:color="auto" w:sz="4" w:space="0"/>
              <w:right w:val="none" w:color="auto" w:sz="0" w:space="0"/>
              <w:tl2br w:val="none" w:color="auto" w:sz="0" w:space="0"/>
              <w:tr2bl w:val="none" w:color="auto" w:sz="0" w:space="0"/>
            </w:tcBorders>
            <w:shd w:val="clear" w:color="auto" w:themeFill="accent1" w:themeFillTint="33" w:themeFillShade="FF"/>
            <w:textDirection w:val="tbRlV"/>
            <w:vAlign w:val="center"/>
          </w:tcPr>
          <w:p>
            <w:pPr>
              <w:pStyle w:val="0"/>
              <w:autoSpaceDE w:val="0"/>
              <w:autoSpaceDN w:val="0"/>
              <w:ind w:left="-44" w:leftChars="-20" w:right="-44" w:rightChars="-2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施設サービス</w:t>
            </w: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介護老人福祉施設</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70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r>
      <w:tr>
        <w:trPr>
          <w:cantSplit/>
          <w:trHeight w:val="397" w:hRule="atLeast"/>
        </w:trPr>
        <w:tc>
          <w:tcPr>
            <w:tcW w:w="850" w:type="dxa"/>
            <w:vMerge w:val="continue"/>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介護老人保健施設</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r>
      <w:tr>
        <w:trPr>
          <w:cantSplit/>
          <w:trHeight w:val="397" w:hRule="atLeast"/>
        </w:trPr>
        <w:tc>
          <w:tcPr>
            <w:tcW w:w="850" w:type="dxa"/>
            <w:vMerge w:val="continue"/>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sz w:val="20"/>
              </w:rPr>
            </w:pPr>
            <w:r>
              <w:rPr>
                <w:rFonts w:hint="eastAsia" w:ascii="ＭＳ Ｐゴシック" w:hAnsi="ＭＳ Ｐゴシック" w:eastAsia="ＭＳ Ｐゴシック"/>
                <w:sz w:val="20"/>
              </w:rPr>
              <w:t>介護医療院</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r>
      <w:tr>
        <w:trPr>
          <w:cantSplit/>
          <w:trHeight w:val="397" w:hRule="atLeast"/>
        </w:trPr>
        <w:tc>
          <w:tcPr>
            <w:tcW w:w="850" w:type="dxa"/>
            <w:vMerge w:val="continue"/>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sz w:val="20"/>
              </w:rPr>
            </w:pPr>
            <w:r>
              <w:rPr>
                <w:rFonts w:hint="eastAsia" w:ascii="ＭＳ Ｐゴシック" w:hAnsi="ＭＳ Ｐゴシック" w:eastAsia="ＭＳ Ｐゴシック"/>
                <w:sz w:val="20"/>
              </w:rPr>
              <w:t>介護療養型医療施設</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70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4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r>
      <w:tr>
        <w:trPr>
          <w:cantSplit/>
          <w:trHeight w:val="397" w:hRule="atLeast"/>
        </w:trPr>
        <w:tc>
          <w:tcPr>
            <w:tcW w:w="850" w:type="dxa"/>
            <w:vMerge w:val="continue"/>
            <w:tcBorders>
              <w:top w:val="none" w:color="auto" w:sz="0" w:space="0"/>
              <w:left w:val="none" w:color="auto" w:sz="0" w:space="0"/>
              <w:bottom w:val="double" w:color="auto" w:sz="4" w:space="0"/>
              <w:right w:val="none" w:color="auto" w:sz="0" w:space="0"/>
              <w:tl2br w:val="none" w:color="auto" w:sz="0" w:space="0"/>
              <w:tr2bl w:val="none" w:color="auto" w:sz="0" w:space="0"/>
            </w:tcBorders>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sz w:val="20"/>
              </w:rPr>
            </w:pPr>
            <w:r>
              <w:rPr>
                <w:rFonts w:hint="eastAsia" w:ascii="ＭＳ Ｐゴシック" w:hAnsi="ＭＳ Ｐゴシック" w:eastAsia="ＭＳ Ｐゴシック"/>
                <w:sz w:val="20"/>
              </w:rPr>
              <w:t>計</w:t>
            </w:r>
          </w:p>
        </w:tc>
        <w:tc>
          <w:tcPr>
            <w:tcW w:w="67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w:t>
            </w:r>
          </w:p>
        </w:tc>
        <w:tc>
          <w:tcPr>
            <w:tcW w:w="70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c>
          <w:tcPr>
            <w:tcW w:w="64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c>
          <w:tcPr>
            <w:tcW w:w="67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c>
          <w:tcPr>
            <w:tcW w:w="67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w:t>
            </w:r>
          </w:p>
        </w:tc>
        <w:tc>
          <w:tcPr>
            <w:tcW w:w="67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13</w:t>
            </w:r>
          </w:p>
        </w:tc>
      </w:tr>
      <w:tr>
        <w:trPr>
          <w:cantSplit/>
          <w:trHeight w:val="397" w:hRule="atLeast"/>
        </w:trPr>
        <w:tc>
          <w:tcPr>
            <w:tcW w:w="3260" w:type="dxa"/>
            <w:gridSpan w:val="2"/>
            <w:tcBorders>
              <w:top w:val="double" w:color="auto" w:sz="4" w:space="0"/>
              <w:left w:val="none" w:color="auto" w:sz="0" w:space="0"/>
              <w:bottom w:val="none" w:color="auto" w:sz="0"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sz w:val="20"/>
              </w:rPr>
            </w:pPr>
            <w:r>
              <w:rPr>
                <w:rFonts w:hint="eastAsia" w:ascii="ＭＳ Ｐゴシック" w:hAnsi="ＭＳ Ｐゴシック" w:eastAsia="ＭＳ Ｐゴシック"/>
                <w:sz w:val="20"/>
              </w:rPr>
              <w:t>合計</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62</w:t>
            </w:r>
          </w:p>
        </w:tc>
        <w:tc>
          <w:tcPr>
            <w:tcW w:w="70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42</w:t>
            </w:r>
          </w:p>
        </w:tc>
        <w:tc>
          <w:tcPr>
            <w:tcW w:w="64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38</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17</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39</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203</w:t>
            </w:r>
          </w:p>
        </w:tc>
      </w:tr>
    </w:tbl>
    <w:p>
      <w:pPr>
        <w:pStyle w:val="28"/>
        <w:autoSpaceDE w:val="0"/>
        <w:autoSpaceDN w:val="0"/>
        <w:rPr>
          <w:rFonts w:hint="default"/>
        </w:rPr>
      </w:pPr>
    </w:p>
    <w:p>
      <w:pPr>
        <w:pStyle w:val="0"/>
        <w:jc w:val="left"/>
        <w:rPr>
          <w:rFonts w:hint="eastAsia" w:ascii="ＭＳ ゴシック" w:hAnsi="ＭＳ ゴシック" w:eastAsia="ＭＳ ゴシック"/>
          <w:b w:val="1"/>
        </w:rPr>
      </w:pPr>
    </w:p>
    <w:p>
      <w:pPr>
        <w:pStyle w:val="19"/>
        <w:spacing w:before="190" w:beforeLines="0" w:beforeAutospacing="0"/>
        <w:ind w:left="0" w:leftChars="0" w:right="84" w:rightChars="40" w:firstLineChars="0"/>
        <w:jc w:val="both"/>
        <w:rPr>
          <w:rFonts w:hint="eastAsia" w:ascii="ＭＳ ゴシック" w:hAnsi="ＭＳ ゴシック" w:eastAsia="ＭＳ ゴシック"/>
          <w:color w:val="auto"/>
          <w:sz w:val="21"/>
        </w:rPr>
      </w:pPr>
      <w:bookmarkStart w:id="7" w:name="_Toc154310409"/>
      <w:bookmarkEnd w:id="7"/>
      <w:bookmarkStart w:id="8" w:name="_Toc155872839"/>
      <w:bookmarkEnd w:id="8"/>
      <w:bookmarkStart w:id="9" w:name="_Toc155873101"/>
      <w:bookmarkEnd w:id="9"/>
      <w:bookmarkStart w:id="10" w:name="_Toc155873546"/>
      <w:bookmarkEnd w:id="10"/>
      <w:bookmarkStart w:id="11" w:name="_Toc159755554"/>
      <w:bookmarkEnd w:id="11"/>
      <w:bookmarkStart w:id="12" w:name="_Toc159757701"/>
      <w:bookmarkEnd w:id="12"/>
      <w:r>
        <w:rPr>
          <w:rFonts w:hint="eastAsia" w:ascii="ＭＳ ゴシック" w:hAnsi="ＭＳ ゴシック" w:eastAsia="ＭＳ ゴシック"/>
          <w:color w:val="auto"/>
          <w:sz w:val="21"/>
        </w:rPr>
        <w:t xml:space="preserve"> (4)</w:t>
      </w:r>
      <w:r>
        <w:rPr>
          <w:rFonts w:hint="eastAsia" w:ascii="ＭＳ ゴシック" w:hAnsi="ＭＳ ゴシック" w:eastAsia="ＭＳ ゴシック"/>
          <w:color w:val="auto"/>
          <w:sz w:val="21"/>
        </w:rPr>
        <w:t>　認知症高齢者数の推計</w:t>
      </w:r>
    </w:p>
    <w:p>
      <w:pPr>
        <w:pStyle w:val="19"/>
        <w:spacing w:before="190" w:beforeLines="0" w:beforeAutospacing="0"/>
        <w:rPr>
          <w:rFonts w:hint="default" w:ascii="BIZ UDゴシック" w:hAnsi="BIZ UDゴシック" w:eastAsia="BIZ UDゴシック"/>
          <w:color w:val="auto"/>
        </w:rPr>
      </w:pPr>
    </w:p>
    <w:p>
      <w:pPr>
        <w:pStyle w:val="19"/>
        <w:spacing w:before="190" w:beforeLines="0" w:beforeAutospacing="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w:t>
      </w:r>
      <w:r>
        <w:rPr>
          <w:rFonts w:hint="eastAsia" w:ascii="ＭＳ ゴシック" w:hAnsi="ＭＳ ゴシック" w:eastAsia="ＭＳ ゴシック"/>
          <w:color w:val="auto"/>
        </w:rPr>
        <w:t>図表　認知症高齢者数等の推移・推計</w:t>
      </w:r>
    </w:p>
    <w:p>
      <w:pPr>
        <w:pStyle w:val="0"/>
        <w:autoSpaceDE w:val="0"/>
        <w:autoSpaceDN w:val="0"/>
        <w:ind w:left="425" w:leftChars="193"/>
        <w:jc w:val="center"/>
        <w:rPr>
          <w:rFonts w:hint="default"/>
          <w:sz w:val="21"/>
        </w:rPr>
      </w:pPr>
      <w:r>
        <w:rPr>
          <w:rFonts w:hint="eastAsia" w:ascii="ＭＳ ゴシック" w:hAnsi="ＭＳ ゴシック" w:eastAsia="ＭＳ ゴシック"/>
          <w:sz w:val="21"/>
        </w:rPr>
        <w:t>（要支援・要介護認定者のうち認知症高齢者の日常生活自立度Ⅱ</w:t>
      </w:r>
      <w:r>
        <w:rPr>
          <w:rFonts w:hint="eastAsia" w:ascii="ＭＳ ゴシック" w:hAnsi="ＭＳ ゴシック" w:eastAsia="ＭＳ ゴシック"/>
          <w:sz w:val="21"/>
        </w:rPr>
        <w:t>a</w:t>
      </w:r>
      <w:r>
        <w:rPr>
          <w:rFonts w:hint="eastAsia" w:ascii="ＭＳ ゴシック" w:hAnsi="ＭＳ ゴシック" w:eastAsia="ＭＳ ゴシック"/>
          <w:sz w:val="21"/>
        </w:rPr>
        <w:t>以上の人）</w:t>
      </w:r>
    </w:p>
    <w:p>
      <w:pPr>
        <w:pStyle w:val="0"/>
        <w:widowControl w:val="1"/>
        <w:autoSpaceDE w:val="0"/>
        <w:autoSpaceDN w:val="0"/>
        <w:spacing w:after="33" w:afterLines="10" w:afterAutospacing="0" w:line="240" w:lineRule="exact"/>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（単位：人）</w:t>
      </w:r>
    </w:p>
    <w:tbl>
      <w:tblPr>
        <w:tblStyle w:val="43"/>
        <w:tblW w:w="8533" w:type="dxa"/>
        <w:tblInd w:w="534" w:type="dxa"/>
        <w:tblLayout w:type="fixed"/>
        <w:tblLook w:firstRow="1" w:lastRow="0" w:firstColumn="1" w:lastColumn="0" w:noHBand="0" w:noVBand="1" w:val="04A0"/>
      </w:tblPr>
      <w:tblGrid>
        <w:gridCol w:w="1870"/>
        <w:gridCol w:w="951"/>
        <w:gridCol w:w="952"/>
        <w:gridCol w:w="952"/>
        <w:gridCol w:w="952"/>
        <w:gridCol w:w="952"/>
        <w:gridCol w:w="952"/>
        <w:gridCol w:w="952"/>
      </w:tblGrid>
      <w:tr>
        <w:trPr/>
        <w:tc>
          <w:tcPr>
            <w:tcW w:w="1870" w:type="dxa"/>
            <w:vMerge w:val="restart"/>
            <w:shd w:val="clear" w:color="auto" w:fill="CCECFF"/>
            <w:vAlign w:val="center"/>
          </w:tcPr>
          <w:p>
            <w:pPr>
              <w:pStyle w:val="0"/>
              <w:autoSpaceDE w:val="0"/>
              <w:autoSpaceDN w:val="0"/>
              <w:spacing w:line="240" w:lineRule="exact"/>
              <w:jc w:val="center"/>
              <w:rPr>
                <w:rFonts w:hint="default" w:ascii="ＭＳ Ｐゴシック" w:hAnsi="ＭＳ Ｐゴシック" w:eastAsia="ＭＳ Ｐゴシック"/>
                <w:kern w:val="24"/>
                <w:sz w:val="18"/>
              </w:rPr>
            </w:pPr>
          </w:p>
        </w:tc>
        <w:tc>
          <w:tcPr>
            <w:tcW w:w="2855" w:type="dxa"/>
            <w:gridSpan w:val="3"/>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期</w:t>
            </w:r>
          </w:p>
        </w:tc>
        <w:tc>
          <w:tcPr>
            <w:tcW w:w="2856"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9</w:t>
            </w:r>
            <w:r>
              <w:rPr>
                <w:rFonts w:hint="eastAsia" w:ascii="ＭＳ Ｐゴシック" w:hAnsi="ＭＳ Ｐゴシック" w:eastAsia="ＭＳ Ｐゴシック"/>
                <w:kern w:val="24"/>
                <w:sz w:val="18"/>
              </w:rPr>
              <w:t>期</w:t>
            </w:r>
          </w:p>
        </w:tc>
        <w:tc>
          <w:tcPr>
            <w:tcW w:w="952"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22</w:t>
            </w:r>
            <w:r>
              <w:rPr>
                <w:rFonts w:hint="eastAsia" w:ascii="ＭＳ Ｐゴシック" w:hAnsi="ＭＳ Ｐゴシック" w:eastAsia="ＭＳ Ｐゴシック"/>
                <w:kern w:val="24"/>
                <w:sz w:val="18"/>
              </w:rPr>
              <w:t>年度</w:t>
            </w:r>
          </w:p>
          <w:p>
            <w:pPr>
              <w:pStyle w:val="0"/>
              <w:autoSpaceDE w:val="0"/>
              <w:autoSpaceDN w:val="0"/>
              <w:spacing w:line="20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2040</w:t>
            </w:r>
            <w:r>
              <w:rPr>
                <w:rFonts w:hint="eastAsia" w:ascii="ＭＳ Ｐゴシック" w:hAnsi="ＭＳ Ｐゴシック" w:eastAsia="ＭＳ Ｐゴシック"/>
                <w:kern w:val="24"/>
                <w:sz w:val="18"/>
              </w:rPr>
              <w:t>年度）</w:t>
            </w:r>
          </w:p>
        </w:tc>
      </w:tr>
      <w:tr>
        <w:trPr>
          <w:trHeight w:val="510" w:hRule="atLeast"/>
        </w:trPr>
        <w:tc>
          <w:tcPr>
            <w:tcW w:w="1870"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p>
        </w:tc>
        <w:tc>
          <w:tcPr>
            <w:tcW w:w="951"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3</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2021</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4</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2022</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5</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2023</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6</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2024</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7</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2025</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2026</w:t>
            </w:r>
            <w:r>
              <w:rPr>
                <w:rFonts w:hint="eastAsia" w:ascii="ＭＳ Ｐゴシック" w:hAnsi="ＭＳ Ｐゴシック" w:eastAsia="ＭＳ Ｐゴシック"/>
                <w:kern w:val="24"/>
                <w:sz w:val="18"/>
              </w:rPr>
              <w:t>年度）</w:t>
            </w:r>
          </w:p>
        </w:tc>
        <w:tc>
          <w:tcPr>
            <w:tcW w:w="952" w:type="dxa"/>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shd w:val="clear" w:color="auto" w:fill="CCECFF"/>
            <w:vAlign w:val="top"/>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p>
        </w:tc>
      </w:tr>
      <w:tr>
        <w:trPr>
          <w:trHeight w:val="340" w:hRule="atLeast"/>
        </w:trPr>
        <w:tc>
          <w:tcPr>
            <w:tcW w:w="187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認知症高齢者数</w:t>
            </w:r>
          </w:p>
        </w:tc>
        <w:tc>
          <w:tcPr>
            <w:tcW w:w="95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3,819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3,917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3,928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4,018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4,116 </w:t>
            </w:r>
          </w:p>
        </w:tc>
        <w:tc>
          <w:tcPr>
            <w:tcW w:w="952"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4,208 </w:t>
            </w:r>
          </w:p>
        </w:tc>
        <w:tc>
          <w:tcPr>
            <w:tcW w:w="952"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5,366 </w:t>
            </w:r>
          </w:p>
        </w:tc>
      </w:tr>
      <w:tr>
        <w:trPr>
          <w:trHeight w:val="340" w:hRule="atLeast"/>
        </w:trPr>
        <w:tc>
          <w:tcPr>
            <w:tcW w:w="187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認定者数に占める割合</w:t>
            </w:r>
          </w:p>
        </w:tc>
        <w:tc>
          <w:tcPr>
            <w:tcW w:w="95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58.4</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59.0</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58.8</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59.9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r>
      <w:tr>
        <w:trPr>
          <w:trHeight w:val="340" w:hRule="atLeast"/>
        </w:trPr>
        <w:tc>
          <w:tcPr>
            <w:tcW w:w="187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高齢者数</w:t>
            </w:r>
          </w:p>
        </w:tc>
        <w:tc>
          <w:tcPr>
            <w:tcW w:w="95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35,863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36,208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36,460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36,761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36,908 </w:t>
            </w:r>
          </w:p>
        </w:tc>
        <w:tc>
          <w:tcPr>
            <w:tcW w:w="952"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37,036 </w:t>
            </w:r>
          </w:p>
        </w:tc>
        <w:tc>
          <w:tcPr>
            <w:tcW w:w="952"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36,993 </w:t>
            </w:r>
          </w:p>
        </w:tc>
      </w:tr>
      <w:tr>
        <w:trPr>
          <w:trHeight w:val="340" w:hRule="atLeast"/>
        </w:trPr>
        <w:tc>
          <w:tcPr>
            <w:tcW w:w="187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高齢者数に占める割合</w:t>
            </w:r>
          </w:p>
        </w:tc>
        <w:tc>
          <w:tcPr>
            <w:tcW w:w="95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10.6</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10.8</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10.8</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11.2</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11.4</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14.5</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r>
    </w:tbl>
    <w:p>
      <w:pPr>
        <w:pStyle w:val="19"/>
        <w:spacing w:before="190" w:beforeLines="0" w:beforeAutospacing="0"/>
        <w:rPr>
          <w:rFonts w:hint="default" w:ascii="BIZ UDゴシック" w:hAnsi="BIZ UDゴシック" w:eastAsia="BIZ UDゴシック"/>
          <w:color w:val="auto"/>
        </w:rPr>
      </w:pPr>
    </w:p>
    <w:p>
      <w:pPr>
        <w:pStyle w:val="19"/>
        <w:spacing w:before="190" w:beforeLines="0" w:beforeAutospacing="0"/>
        <w:rPr>
          <w:rFonts w:hint="eastAsia" w:ascii="ＭＳ ゴシック" w:hAnsi="ＭＳ ゴシック" w:eastAsia="ＭＳ ゴシック"/>
          <w:color w:val="auto"/>
        </w:rPr>
      </w:pPr>
      <w:r>
        <w:rPr>
          <w:rFonts w:hint="eastAsia" w:ascii="ＭＳ ゴシック" w:hAnsi="ＭＳ ゴシック" w:eastAsia="ＭＳ ゴシック"/>
          <w:color w:val="auto"/>
        </w:rPr>
        <w:t>図表　日常生活圏域別認知症高齢者数等の推移・推計</w:t>
      </w:r>
    </w:p>
    <w:p>
      <w:pPr>
        <w:pStyle w:val="19"/>
        <w:spacing w:before="0" w:beforeLines="0" w:beforeAutospacing="0"/>
        <w:rPr>
          <w:rFonts w:hint="default" w:ascii="BIZ UDゴシック" w:hAnsi="BIZ UDゴシック" w:eastAsia="BIZ UDゴシック"/>
          <w:color w:val="auto"/>
        </w:rPr>
      </w:pPr>
      <w:r>
        <w:rPr>
          <w:rFonts w:hint="eastAsia" w:ascii="ＭＳ ゴシック" w:hAnsi="ＭＳ ゴシック" w:eastAsia="ＭＳ ゴシック"/>
          <w:color w:val="auto"/>
        </w:rPr>
        <w:t>（要支援・要介護認定者のうち認知症高齢者の日常生活自立度Ⅱ</w:t>
      </w:r>
      <w:r>
        <w:rPr>
          <w:rFonts w:hint="eastAsia" w:ascii="ＭＳ ゴシック" w:hAnsi="ＭＳ ゴシック" w:eastAsia="ＭＳ ゴシック"/>
          <w:color w:val="auto"/>
        </w:rPr>
        <w:t>a</w:t>
      </w:r>
      <w:r>
        <w:rPr>
          <w:rFonts w:hint="eastAsia" w:ascii="ＭＳ ゴシック" w:hAnsi="ＭＳ ゴシック" w:eastAsia="ＭＳ ゴシック"/>
          <w:color w:val="auto"/>
        </w:rPr>
        <w:t>以上の人）</w:t>
      </w:r>
    </w:p>
    <w:p>
      <w:pPr>
        <w:pStyle w:val="0"/>
        <w:widowControl w:val="1"/>
        <w:autoSpaceDE w:val="0"/>
        <w:autoSpaceDN w:val="0"/>
        <w:spacing w:after="33" w:afterLines="10" w:afterAutospacing="0" w:line="240" w:lineRule="exact"/>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（単位：人）</w:t>
      </w:r>
    </w:p>
    <w:tbl>
      <w:tblPr>
        <w:tblStyle w:val="43"/>
        <w:tblW w:w="8533" w:type="dxa"/>
        <w:tblInd w:w="534" w:type="dxa"/>
        <w:tblLayout w:type="fixed"/>
        <w:tblLook w:firstRow="1" w:lastRow="0" w:firstColumn="1" w:lastColumn="0" w:noHBand="0" w:noVBand="1" w:val="04A0"/>
      </w:tblPr>
      <w:tblGrid>
        <w:gridCol w:w="737"/>
        <w:gridCol w:w="1559"/>
        <w:gridCol w:w="891"/>
        <w:gridCol w:w="891"/>
        <w:gridCol w:w="891"/>
        <w:gridCol w:w="891"/>
        <w:gridCol w:w="891"/>
        <w:gridCol w:w="891"/>
        <w:gridCol w:w="891"/>
      </w:tblGrid>
      <w:tr>
        <w:trPr/>
        <w:tc>
          <w:tcPr>
            <w:tcW w:w="2296" w:type="dxa"/>
            <w:gridSpan w:val="2"/>
            <w:vMerge w:val="restart"/>
            <w:shd w:val="clear" w:color="auto" w:fill="CCECFF"/>
            <w:vAlign w:val="center"/>
          </w:tcPr>
          <w:p>
            <w:pPr>
              <w:pStyle w:val="0"/>
              <w:autoSpaceDE w:val="0"/>
              <w:autoSpaceDN w:val="0"/>
              <w:spacing w:line="240" w:lineRule="exact"/>
              <w:jc w:val="center"/>
              <w:rPr>
                <w:rFonts w:hint="default" w:ascii="ＭＳ Ｐゴシック" w:hAnsi="ＭＳ Ｐゴシック" w:eastAsia="ＭＳ Ｐゴシック"/>
                <w:kern w:val="24"/>
                <w:sz w:val="18"/>
              </w:rPr>
            </w:pPr>
          </w:p>
        </w:tc>
        <w:tc>
          <w:tcPr>
            <w:tcW w:w="2673" w:type="dxa"/>
            <w:gridSpan w:val="3"/>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期</w:t>
            </w:r>
          </w:p>
        </w:tc>
        <w:tc>
          <w:tcPr>
            <w:tcW w:w="2673"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9</w:t>
            </w:r>
            <w:r>
              <w:rPr>
                <w:rFonts w:hint="eastAsia" w:ascii="ＭＳ Ｐゴシック" w:hAnsi="ＭＳ Ｐゴシック" w:eastAsia="ＭＳ Ｐゴシック"/>
                <w:kern w:val="24"/>
                <w:sz w:val="18"/>
              </w:rPr>
              <w:t>期</w:t>
            </w:r>
          </w:p>
        </w:tc>
        <w:tc>
          <w:tcPr>
            <w:tcW w:w="891"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w w:val="95"/>
                <w:kern w:val="24"/>
                <w:sz w:val="18"/>
              </w:rPr>
            </w:pPr>
            <w:r>
              <w:rPr>
                <w:rFonts w:hint="eastAsia" w:ascii="ＭＳ Ｐゴシック" w:hAnsi="ＭＳ Ｐゴシック" w:eastAsia="ＭＳ Ｐゴシック"/>
                <w:w w:val="95"/>
                <w:kern w:val="24"/>
                <w:sz w:val="18"/>
              </w:rPr>
              <w:t>令和</w:t>
            </w:r>
            <w:r>
              <w:rPr>
                <w:rFonts w:hint="eastAsia" w:ascii="ＭＳ Ｐゴシック" w:hAnsi="ＭＳ Ｐゴシック" w:eastAsia="ＭＳ Ｐゴシック"/>
                <w:w w:val="95"/>
                <w:kern w:val="24"/>
                <w:sz w:val="18"/>
              </w:rPr>
              <w:t>22</w:t>
            </w:r>
            <w:r>
              <w:rPr>
                <w:rFonts w:hint="eastAsia" w:ascii="ＭＳ Ｐゴシック" w:hAnsi="ＭＳ Ｐゴシック" w:eastAsia="ＭＳ Ｐゴシック"/>
                <w:w w:val="95"/>
                <w:kern w:val="24"/>
                <w:sz w:val="18"/>
              </w:rPr>
              <w:t>年度</w:t>
            </w:r>
          </w:p>
          <w:p>
            <w:pPr>
              <w:pStyle w:val="0"/>
              <w:autoSpaceDE w:val="0"/>
              <w:autoSpaceDN w:val="0"/>
              <w:spacing w:line="240" w:lineRule="exact"/>
              <w:ind w:left="-220" w:leftChars="-100" w:right="-220" w:rightChars="-100"/>
              <w:jc w:val="center"/>
              <w:rPr>
                <w:rFonts w:hint="default" w:ascii="ＭＳ Ｐゴシック" w:hAnsi="ＭＳ Ｐゴシック" w:eastAsia="ＭＳ Ｐゴシック"/>
                <w:w w:val="95"/>
                <w:kern w:val="24"/>
                <w:sz w:val="18"/>
              </w:rPr>
            </w:pPr>
            <w:r>
              <w:rPr>
                <w:rFonts w:hint="eastAsia" w:ascii="ＭＳ Ｐゴシック" w:hAnsi="ＭＳ Ｐゴシック" w:eastAsia="ＭＳ Ｐゴシック"/>
                <w:w w:val="95"/>
                <w:kern w:val="24"/>
                <w:sz w:val="18"/>
              </w:rPr>
              <w:t>（</w:t>
            </w:r>
            <w:r>
              <w:rPr>
                <w:rFonts w:hint="eastAsia" w:ascii="ＭＳ Ｐゴシック" w:hAnsi="ＭＳ Ｐゴシック" w:eastAsia="ＭＳ Ｐゴシック"/>
                <w:w w:val="95"/>
                <w:kern w:val="24"/>
                <w:sz w:val="18"/>
              </w:rPr>
              <w:t>2040</w:t>
            </w:r>
            <w:r>
              <w:rPr>
                <w:rFonts w:hint="eastAsia" w:ascii="ＭＳ Ｐゴシック" w:hAnsi="ＭＳ Ｐゴシック" w:eastAsia="ＭＳ Ｐゴシック"/>
                <w:w w:val="95"/>
                <w:kern w:val="24"/>
                <w:sz w:val="18"/>
              </w:rPr>
              <w:t>年度）</w:t>
            </w:r>
          </w:p>
        </w:tc>
      </w:tr>
      <w:tr>
        <w:trPr/>
        <w:tc>
          <w:tcPr>
            <w:tcW w:w="2296" w:type="dxa"/>
            <w:gridSpan w:val="2"/>
            <w:vMerge w:val="continue"/>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3</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2021</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4</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2022</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5</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2023</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6</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2024</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7</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2025</w:t>
            </w:r>
            <w:r>
              <w:rPr>
                <w:rFonts w:hint="eastAsia" w:ascii="ＭＳ Ｐゴシック" w:hAnsi="ＭＳ Ｐゴシック" w:eastAsia="ＭＳ Ｐゴシック"/>
                <w:kern w:val="24"/>
                <w:sz w:val="18"/>
              </w:rPr>
              <w:t>年度）</w:t>
            </w:r>
          </w:p>
        </w:tc>
        <w:tc>
          <w:tcPr>
            <w:tcW w:w="891" w:type="dxa"/>
            <w:tcBorders>
              <w:top w:val="none" w:color="auto" w:sz="0" w:space="0"/>
              <w:left w:val="none" w:color="auto" w:sz="0" w:space="0"/>
              <w:bottom w:val="none" w:color="auto" w:sz="0"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2026</w:t>
            </w:r>
            <w:r>
              <w:rPr>
                <w:rFonts w:hint="eastAsia" w:ascii="ＭＳ Ｐゴシック" w:hAnsi="ＭＳ Ｐゴシック" w:eastAsia="ＭＳ Ｐゴシック"/>
                <w:kern w:val="24"/>
                <w:sz w:val="18"/>
              </w:rPr>
              <w:t>年度）</w:t>
            </w:r>
          </w:p>
        </w:tc>
        <w:tc>
          <w:tcPr>
            <w:tcW w:w="891" w:type="dxa"/>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shd w:val="clear" w:color="auto" w:fill="CCECFF"/>
            <w:vAlign w:val="top"/>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w w:val="95"/>
                <w:kern w:val="24"/>
                <w:sz w:val="18"/>
              </w:rPr>
            </w:pPr>
          </w:p>
        </w:tc>
      </w:tr>
      <w:tr>
        <w:trPr>
          <w:trHeight w:val="283" w:hRule="atLeast"/>
        </w:trPr>
        <w:tc>
          <w:tcPr>
            <w:tcW w:w="737"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東部</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816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818</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784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815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835</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851</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1,124</w:t>
            </w:r>
          </w:p>
        </w:tc>
      </w:tr>
      <w:tr>
        <w:trPr>
          <w:trHeight w:val="283" w:hRule="atLeast"/>
        </w:trPr>
        <w:tc>
          <w:tcPr>
            <w:tcW w:w="737" w:type="dxa"/>
            <w:vMerge w:val="continue"/>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0"/>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10.7%</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10.9%</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12.3%</w:t>
            </w:r>
          </w:p>
        </w:tc>
      </w:tr>
      <w:tr>
        <w:trPr>
          <w:trHeight w:val="283" w:hRule="atLeast"/>
        </w:trPr>
        <w:tc>
          <w:tcPr>
            <w:tcW w:w="737"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中部</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628</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675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665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704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730</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761</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1,250</w:t>
            </w:r>
          </w:p>
        </w:tc>
      </w:tr>
      <w:tr>
        <w:trPr>
          <w:trHeight w:val="283" w:hRule="atLeast"/>
        </w:trPr>
        <w:tc>
          <w:tcPr>
            <w:tcW w:w="737" w:type="dxa"/>
            <w:vMerge w:val="continue"/>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8.9%</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9.2%</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15.5%</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廿日市</w:t>
            </w:r>
          </w:p>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西部</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724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757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822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850</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874</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1,118</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10.3%</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10.9%</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11.8%</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12.2%</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16.7%</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佐伯</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445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456</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457</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466</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11.3%</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11.7%</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11.9%</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15.2%</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吉和</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49</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44</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37</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15.3%</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15.1%</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15.0%</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14.6%</w:t>
            </w:r>
          </w:p>
        </w:tc>
      </w:tr>
      <w:tr>
        <w:trPr>
          <w:trHeight w:val="283" w:hRule="atLeast"/>
        </w:trPr>
        <w:tc>
          <w:tcPr>
            <w:tcW w:w="737" w:type="dxa"/>
            <w:vMerge w:val="restart"/>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大野</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w:t>
            </w:r>
            <w:r>
              <w:rPr>
                <w:rFonts w:hint="default" w:ascii="ＭＳ Ｐゴシック" w:hAnsi="ＭＳ Ｐゴシック" w:eastAsia="ＭＳ Ｐゴシック"/>
                <w:sz w:val="18"/>
              </w:rPr>
              <w:t>,</w:t>
            </w:r>
            <w:r>
              <w:rPr>
                <w:rFonts w:hint="eastAsia" w:ascii="ＭＳ Ｐゴシック" w:hAnsi="ＭＳ Ｐゴシック" w:eastAsia="ＭＳ Ｐゴシック"/>
                <w:sz w:val="18"/>
              </w:rPr>
              <w:t>002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w:t>
            </w:r>
            <w:r>
              <w:rPr>
                <w:rFonts w:hint="default" w:ascii="ＭＳ Ｐゴシック" w:hAnsi="ＭＳ Ｐゴシック" w:eastAsia="ＭＳ Ｐゴシック"/>
                <w:sz w:val="18"/>
              </w:rPr>
              <w:t>,</w:t>
            </w:r>
            <w:r>
              <w:rPr>
                <w:rFonts w:hint="eastAsia" w:ascii="ＭＳ Ｐゴシック" w:hAnsi="ＭＳ Ｐゴシック" w:eastAsia="ＭＳ Ｐゴシック"/>
                <w:sz w:val="18"/>
              </w:rPr>
              <w:t>010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1,042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1,085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1,107</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1,128</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1,292</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11.3%</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12.1%</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12.3%</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12.5%</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13.9%</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宮島</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93</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93</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79</w:t>
            </w:r>
          </w:p>
        </w:tc>
      </w:tr>
      <w:tr>
        <w:trPr>
          <w:trHeight w:val="283" w:hRule="atLeast"/>
        </w:trPr>
        <w:tc>
          <w:tcPr>
            <w:tcW w:w="737" w:type="dxa"/>
            <w:vMerge w:val="continue"/>
            <w:vAlign w:val="center"/>
          </w:tcPr>
          <w:p>
            <w:pPr>
              <w:pStyle w:val="0"/>
              <w:autoSpaceDE w:val="0"/>
              <w:autoSpaceDN w:val="0"/>
              <w:spacing w:line="240" w:lineRule="exact"/>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12.8%</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11.8%</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12.9%</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14.1%</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14.6%</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17.1%</w:t>
            </w:r>
          </w:p>
        </w:tc>
      </w:tr>
    </w:tbl>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rPr>
          <w:rFonts w:hint="eastAsia" w:ascii="ＭＳ 明朝" w:hAnsi="ＭＳ 明朝" w:eastAsia="ＭＳ 明朝"/>
          <w:b w:val="0"/>
          <w:sz w:val="24"/>
        </w:rPr>
        <w:sectPr>
          <w:headerReference r:id="rId6" w:type="default"/>
          <w:footerReference r:id="rId8" w:type="even"/>
          <w:footerReference r:id="rId9" w:type="default"/>
          <w:footerReference r:id="rId7" w:type="first"/>
          <w:pgSz w:w="11906" w:h="16838"/>
          <w:pgMar w:top="1417" w:right="1417" w:bottom="1417" w:left="1417" w:header="851" w:footer="851" w:gutter="0"/>
          <w:pgBorders w:zOrder="front" w:display="allPages" w:offsetFrom="page"/>
          <w:cols w:space="720"/>
          <w:titlePg w:val="1"/>
          <w:textDirection w:val="lrTb"/>
          <w:docGrid w:type="lines" w:linePitch="340"/>
        </w:sectPr>
      </w:pPr>
    </w:p>
    <w:p>
      <w:pPr>
        <w:pStyle w:val="0"/>
        <w:rPr>
          <w:rFonts w:hint="default" w:ascii="ＭＳ ゴシック" w:hAnsi="ＭＳ ゴシック" w:eastAsia="ＭＳ ゴシック"/>
          <w:b w:val="1"/>
          <w:color w:val="auto"/>
          <w:sz w:val="21"/>
        </w:rPr>
      </w:pPr>
      <w:r>
        <w:rPr>
          <w:rFonts w:hint="eastAsia" w:ascii="ＭＳ ゴシック" w:hAnsi="ＭＳ ゴシック" w:eastAsia="ＭＳ ゴシック"/>
          <w:b w:val="0"/>
          <w:color w:val="auto"/>
          <w:sz w:val="21"/>
        </w:rPr>
        <w:t>別紙（審査基準）</w:t>
      </w:r>
    </w:p>
    <w:p>
      <w:pPr>
        <w:pStyle w:val="0"/>
        <w:rPr>
          <w:rFonts w:hint="default" w:ascii="ＭＳ ゴシック" w:hAnsi="ＭＳ ゴシック" w:eastAsia="ＭＳ ゴシック"/>
          <w:b w:val="1"/>
          <w:color w:val="auto"/>
          <w:sz w:val="21"/>
        </w:rPr>
      </w:pPr>
    </w:p>
    <w:p>
      <w:pPr>
        <w:pStyle w:val="0"/>
        <w:rPr>
          <w:rFonts w:hint="default" w:ascii="ＭＳ ゴシック" w:hAnsi="ＭＳ ゴシック" w:eastAsia="ＭＳ ゴシック"/>
          <w:b w:val="1"/>
          <w:color w:val="auto"/>
          <w:sz w:val="21"/>
        </w:rPr>
      </w:pPr>
      <w:r>
        <w:rPr>
          <w:rFonts w:hint="eastAsia" w:ascii="ＭＳ 明朝" w:hAnsi="ＭＳ 明朝" w:eastAsia="ＭＳ 明朝"/>
          <w:b w:val="0"/>
          <w:color w:val="auto"/>
          <w:sz w:val="21"/>
        </w:rPr>
        <w:t>　</w:t>
      </w:r>
      <w:r>
        <w:rPr>
          <w:rFonts w:hint="eastAsia" w:ascii="ＭＳ ゴシック" w:hAnsi="ＭＳ ゴシック" w:eastAsia="ＭＳ ゴシック"/>
          <w:b w:val="0"/>
          <w:color w:val="auto"/>
          <w:sz w:val="21"/>
        </w:rPr>
        <w:t>以下の内容に留意して、提案してください。</w:t>
      </w:r>
    </w:p>
    <w:tbl>
      <w:tblPr>
        <w:tblStyle w:val="11"/>
        <w:tblW w:w="9630"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600"/>
        <w:gridCol w:w="2521"/>
        <w:gridCol w:w="6509"/>
      </w:tblGrid>
      <w:tr>
        <w:trPr>
          <w:trHeight w:val="450" w:hRule="atLeast"/>
        </w:trPr>
        <w:tc>
          <w:tcPr>
            <w:tcW w:w="60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themeFill="accent1" w:themeFillTint="33" w:themeFillShade="FF"/>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番</w:t>
            </w:r>
            <w:r>
              <w:rPr>
                <w:rStyle w:val="41"/>
                <w:rFonts w:hint="eastAsia" w:ascii="ＭＳ ゴシック" w:hAnsi="ＭＳ ゴシック" w:eastAsia="ＭＳ ゴシック"/>
                <w:b w:val="0"/>
                <w:i w:val="0"/>
                <w:smallCaps w:val="0"/>
                <w:sz w:val="21"/>
              </w:rPr>
              <w:t>号</w:t>
            </w:r>
          </w:p>
        </w:tc>
        <w:tc>
          <w:tcPr>
            <w:tcW w:w="2521"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themeFill="accent1" w:themeFillTint="33" w:themeFillShade="FF"/>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審</w:t>
            </w:r>
            <w:r>
              <w:rPr>
                <w:rStyle w:val="41"/>
                <w:rFonts w:hint="eastAsia" w:ascii="ＭＳ ゴシック" w:hAnsi="ＭＳ ゴシック" w:eastAsia="ＭＳ ゴシック"/>
                <w:b w:val="0"/>
                <w:i w:val="0"/>
                <w:smallCaps w:val="0"/>
                <w:sz w:val="21"/>
              </w:rPr>
              <w:t>　査　項　目</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themeFill="accent1" w:themeFillTint="33" w:themeFillShade="FF"/>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評</w:t>
            </w:r>
            <w:r>
              <w:rPr>
                <w:rStyle w:val="41"/>
                <w:rFonts w:hint="eastAsia" w:ascii="ＭＳ ゴシック" w:hAnsi="ＭＳ ゴシック" w:eastAsia="ＭＳ ゴシック"/>
                <w:b w:val="0"/>
                <w:i w:val="0"/>
                <w:smallCaps w:val="0"/>
                <w:sz w:val="21"/>
              </w:rPr>
              <w:t>　価　項　目</w:t>
            </w:r>
          </w:p>
        </w:tc>
      </w:tr>
      <w:tr>
        <w:trPr>
          <w:trHeight w:val="450" w:hRule="atLeast"/>
        </w:trPr>
        <w:tc>
          <w:tcPr>
            <w:tcW w:w="60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１</w:t>
            </w:r>
          </w:p>
        </w:tc>
        <w:tc>
          <w:tcPr>
            <w:tcW w:w="2521"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rPr>
                <w:rFonts w:hint="eastAsia" w:ascii="ＭＳ ゴシック" w:hAnsi="ＭＳ ゴシック" w:eastAsia="ＭＳ ゴシック"/>
              </w:rPr>
            </w:pPr>
            <w:r>
              <w:rPr>
                <w:rFonts w:hint="eastAsia" w:ascii="ＭＳ ゴシック" w:hAnsi="ＭＳ ゴシック" w:eastAsia="ＭＳ ゴシック"/>
              </w:rPr>
              <w:t>立地条件</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rPr>
                <w:rFonts w:hint="eastAsia" w:ascii="ＭＳ ゴシック" w:hAnsi="ＭＳ ゴシック" w:eastAsia="ＭＳ ゴシック"/>
              </w:rPr>
            </w:pPr>
            <w:r>
              <w:rPr>
                <w:rFonts w:hint="eastAsia" w:ascii="ＭＳ ゴシック" w:hAnsi="ＭＳ ゴシック" w:eastAsia="ＭＳ ゴシック"/>
              </w:rPr>
              <w:t>①</w:t>
            </w:r>
            <w:r>
              <w:rPr>
                <w:rFonts w:hint="eastAsia" w:ascii="ＭＳ ゴシック" w:hAnsi="ＭＳ ゴシック" w:eastAsia="ＭＳ ゴシック"/>
              </w:rPr>
              <w:t xml:space="preserve"> </w:t>
            </w:r>
            <w:r>
              <w:rPr>
                <w:rFonts w:hint="eastAsia" w:ascii="ＭＳ ゴシック" w:hAnsi="ＭＳ ゴシック" w:eastAsia="ＭＳ ゴシック"/>
              </w:rPr>
              <w:t>利用者がサービスを受けやすい立地条件</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２</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事業所運営の基本方針</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本公募に応募した理由</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事業所の理念・基本方針</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③</w:t>
            </w:r>
            <w:r>
              <w:rPr>
                <w:rStyle w:val="40"/>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自己評価や外部評価及び情報の公開に関する考え方</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３</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法</w:t>
            </w:r>
            <w:r>
              <w:rPr>
                <w:rStyle w:val="41"/>
                <w:rFonts w:hint="eastAsia" w:ascii="ＭＳ ゴシック" w:hAnsi="ＭＳ ゴシック" w:eastAsia="ＭＳ ゴシック"/>
                <w:b w:val="0"/>
                <w:i w:val="0"/>
                <w:smallCaps w:val="0"/>
                <w:sz w:val="21"/>
              </w:rPr>
              <w:t>令等の遵守</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法令等の遵守についての考え方（労働関係法令を含む）</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個人情報保護についての考え方（従業員の守秘義務など）</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③</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過去の運営指導の結果に対する取組</w:t>
            </w:r>
          </w:p>
        </w:tc>
      </w:tr>
      <w:tr>
        <w:trPr>
          <w:trHeight w:val="450" w:hRule="atLeast"/>
        </w:trPr>
        <w:tc>
          <w:tcPr>
            <w:tcW w:w="60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４</w:t>
            </w:r>
          </w:p>
        </w:tc>
        <w:tc>
          <w:tcPr>
            <w:tcW w:w="2521"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運</w:t>
            </w:r>
            <w:r>
              <w:rPr>
                <w:rStyle w:val="41"/>
                <w:rFonts w:hint="eastAsia" w:ascii="ＭＳ ゴシック" w:hAnsi="ＭＳ ゴシック" w:eastAsia="ＭＳ ゴシック"/>
                <w:b w:val="0"/>
                <w:i w:val="0"/>
                <w:smallCaps w:val="0"/>
                <w:sz w:val="21"/>
              </w:rPr>
              <w:t>営実績</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事業を運営するに足りる実績・経験</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５</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人材確保・人材育成等</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①</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人材確保の取組</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従業員の人材育成に関する取組</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③</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管理者に求める資質・経験</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働きやすい環境づくり</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６</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運</w:t>
            </w:r>
            <w:r>
              <w:rPr>
                <w:rStyle w:val="41"/>
                <w:rFonts w:hint="eastAsia" w:ascii="ＭＳ ゴシック" w:hAnsi="ＭＳ ゴシック" w:eastAsia="ＭＳ ゴシック"/>
                <w:b w:val="0"/>
                <w:i w:val="0"/>
                <w:smallCaps w:val="0"/>
                <w:sz w:val="21"/>
              </w:rPr>
              <w:t>営管理</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①</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危機管理体制</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事故防止・安全対策及び事故発生時の対応</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③</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苦情処理のための体制</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災害・感染症流行時における対応方針</w:t>
            </w:r>
          </w:p>
        </w:tc>
      </w:tr>
      <w:tr>
        <w:trPr>
          <w:trHeight w:val="450" w:hRule="atLeast"/>
        </w:trPr>
        <w:tc>
          <w:tcPr>
            <w:tcW w:w="280" w:type="dxa"/>
            <w:vMerge w:val="restart"/>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jc w:val="center"/>
              <w:rPr>
                <w:rFonts w:hint="default" w:ascii="ＭＳ ゴシック" w:hAnsi="ＭＳ ゴシック" w:eastAsia="ＭＳ ゴシック"/>
                <w:b w:val="0"/>
                <w:i w:val="0"/>
                <w:smallCaps w:val="0"/>
                <w:sz w:val="22"/>
              </w:rPr>
            </w:pPr>
            <w:r>
              <w:rPr>
                <w:rFonts w:hint="eastAsia" w:ascii="ＭＳ ゴシック" w:hAnsi="ＭＳ ゴシック" w:eastAsia="ＭＳ ゴシック"/>
                <w:b w:val="0"/>
                <w:i w:val="0"/>
                <w:smallCaps w:val="0"/>
                <w:sz w:val="22"/>
              </w:rPr>
              <w:t>７</w:t>
            </w:r>
          </w:p>
        </w:tc>
        <w:tc>
          <w:tcPr>
            <w:tcW w:w="2521" w:type="dxa"/>
            <w:vMerge w:val="restart"/>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ind w:left="105" w:leftChars="50"/>
              <w:rPr>
                <w:rFonts w:hint="default" w:ascii="ＭＳ ゴシック" w:hAnsi="ＭＳ ゴシック" w:eastAsia="ＭＳ ゴシック"/>
                <w:b w:val="0"/>
                <w:i w:val="0"/>
                <w:smallCaps w:val="0"/>
                <w:sz w:val="22"/>
              </w:rPr>
            </w:pPr>
            <w:r>
              <w:rPr>
                <w:rFonts w:hint="eastAsia" w:ascii="ＭＳ ゴシック" w:hAnsi="ＭＳ ゴシック" w:eastAsia="ＭＳ ゴシック"/>
                <w:b w:val="0"/>
                <w:i w:val="0"/>
                <w:smallCaps w:val="0"/>
                <w:sz w:val="22"/>
              </w:rPr>
              <w:t>利用者への対応</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①</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具体的な介護の方針</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利用者等への人権及び尊厳に対する考え方</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eastAsia"/>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eastAsia"/>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rPr>
            </w:pPr>
            <w:r>
              <w:rPr>
                <w:rFonts w:hint="eastAsia" w:ascii="ＭＳ ゴシック" w:hAnsi="ＭＳ ゴシック" w:eastAsia="ＭＳ ゴシック"/>
                <w:b w:val="0"/>
                <w:i w:val="0"/>
                <w:smallCaps w:val="0"/>
                <w:sz w:val="21"/>
              </w:rPr>
              <w:t>③</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ターミナルケアに対する考え方</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認知症ケアに対する考え方</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８</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事業の適正な運営</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サービスの質の向上への取組</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運営推進会議の設置に関する考え方</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③</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利用者の確保に関する考え方</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他のサービス事業者及び関係機関との連携</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９</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ind w:left="105" w:leftChars="50"/>
              <w:rPr>
                <w:rFonts w:hint="eastAsia" w:ascii="ＭＳ ゴシック" w:hAnsi="ＭＳ ゴシック" w:eastAsia="ＭＳ ゴシック"/>
              </w:rPr>
            </w:pPr>
            <w:r>
              <w:rPr>
                <w:rFonts w:hint="eastAsia" w:ascii="ＭＳ ゴシック" w:hAnsi="ＭＳ ゴシック" w:eastAsia="ＭＳ ゴシック"/>
              </w:rPr>
              <w:t>地域連携</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地域住民・地域団体への説明</w:t>
            </w:r>
          </w:p>
        </w:tc>
      </w:tr>
      <w:tr>
        <w:trPr>
          <w:trHeight w:val="450" w:hRule="atLeast"/>
        </w:trPr>
        <w:tc>
          <w:tcPr>
            <w:tcW w:w="60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地域連携のための取組に対する考え方や独自の取組</w:t>
            </w:r>
          </w:p>
        </w:tc>
      </w:tr>
    </w:tbl>
    <w:p>
      <w:pPr>
        <w:pStyle w:val="0"/>
        <w:rPr>
          <w:rFonts w:hint="default" w:ascii="ＭＳ ゴシック" w:hAnsi="ＭＳ ゴシック" w:eastAsia="ＭＳ ゴシック"/>
          <w:b w:val="1"/>
          <w:sz w:val="24"/>
        </w:rPr>
      </w:pPr>
    </w:p>
    <w:sectPr>
      <w:type w:val="continuous"/>
      <w:pgSz w:w="11906" w:h="16838"/>
      <w:pgMar w:top="1134" w:right="1134" w:bottom="1134" w:left="1134" w:header="850" w:footer="624" w:gutter="0"/>
      <w:pgBorders w:zOrder="front" w:display="allPages" w:offsetFrom="page"/>
      <w:cols w:space="720"/>
      <w:titlePg w:val="1"/>
      <w:textDirection w:val="lrTb"/>
      <w:docGrid w:type="lines" w:linePitch="34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BIZ UDゴシック">
    <w:panose1 w:val="00000000000000000000"/>
    <w:charset w:val="80"/>
    <w:family w:val="modern"/>
    <w:notTrueType/>
    <w:pitch w:val="fixed"/>
    <w:sig w:usb0="00000000" w:usb1="00000000" w:usb2="00000000" w:usb3="00000000" w:csb0="01008200" w:csb1="00000000"/>
  </w:font>
  <w:font w:name="BIZ UDPゴシック">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BIZ UDPゴシック">
    <w:panose1 w:val="000008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22"/>
            <w:rFonts w:hint="eastAsia"/>
          </w:rPr>
          <w:t>1</w:t>
        </w:r>
        <w:r>
          <w:rPr>
            <w:rFonts w:hint="eastAsia"/>
          </w:rPr>
          <w:fldChar w:fldCharType="end"/>
        </w:r>
      </w:p>
    </w:sdtContent>
  </w:sdt>
  <w:p>
    <w:pPr>
      <w:pStyle w:val="0"/>
      <w:rPr>
        <w:rFonts w:hint="eastAsia"/>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65"/>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65"/>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2</w:t>
    </w:r>
    <w:r>
      <w:rPr>
        <w:rFonts w:hint="eastAsia"/>
      </w:rPr>
      <w:fldChar w:fldCharType="end"/>
    </w:r>
  </w:p>
  <w:p>
    <w:pPr>
      <w:pStyle w:val="21"/>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6DF85F00"/>
    <w:lvl w:ilvl="0" w:tplc="FFFFFFFF">
      <w:numFmt w:val="bullet"/>
      <w:lvlText w:val=""/>
      <w:lvlJc w:val="left"/>
      <w:pPr>
        <w:ind w:left="440" w:hanging="440"/>
      </w:pPr>
      <w:rPr>
        <w:rFonts w:hint="default" w:ascii="Wingdings" w:hAnsi="Wingdings"/>
        <w:color w:val="808080" w:themeColor="background1" w:themeShade="80"/>
        <w:sz w:val="22"/>
      </w:rPr>
    </w:lvl>
    <w:lvl w:ilvl="1" w:tplc="FFFFFFFF">
      <w:numFmt w:val="bullet"/>
      <w:lvlText w:val=""/>
      <w:lvlJc w:val="left"/>
      <w:pPr>
        <w:ind w:left="880" w:hanging="440"/>
      </w:pPr>
      <w:rPr>
        <w:rFonts w:hint="default" w:ascii="Wingdings" w:hAnsi="Wingdings"/>
      </w:rPr>
    </w:lvl>
    <w:lvl w:ilvl="2" w:tplc="FFFFFFFF">
      <w:numFmt w:val="bullet"/>
      <w:lvlText w:val=""/>
      <w:lvlJc w:val="left"/>
      <w:pPr>
        <w:ind w:left="1320" w:hanging="440"/>
      </w:pPr>
      <w:rPr>
        <w:rFonts w:hint="default" w:ascii="Wingdings" w:hAnsi="Wingdings"/>
      </w:rPr>
    </w:lvl>
    <w:lvl w:ilvl="3" w:tplc="E946BEE0">
      <w:numFmt w:val="bullet"/>
      <w:pStyle w:val="35"/>
      <w:lvlText w:val=""/>
      <w:lvlJc w:val="left"/>
      <w:pPr>
        <w:ind w:left="440" w:hanging="440"/>
      </w:pPr>
      <w:rPr>
        <w:rFonts w:hint="default" w:ascii="Wingdings" w:hAnsi="Wingdings"/>
        <w:color w:val="808080" w:themeColor="background1" w:themeShade="80"/>
        <w:sz w:val="22"/>
      </w:rPr>
    </w:lvl>
    <w:lvl w:ilvl="4" w:tplc="FFFFFFFF">
      <w:numFmt w:val="bullet"/>
      <w:lvlText w:val=""/>
      <w:lvlJc w:val="left"/>
      <w:pPr>
        <w:ind w:left="2200" w:hanging="440"/>
      </w:pPr>
      <w:rPr>
        <w:rFonts w:hint="default" w:ascii="Wingdings" w:hAnsi="Wingdings"/>
      </w:rPr>
    </w:lvl>
    <w:lvl w:ilvl="5" w:tplc="FFFFFFFF">
      <w:numFmt w:val="bullet"/>
      <w:lvlText w:val=""/>
      <w:lvlJc w:val="left"/>
      <w:pPr>
        <w:ind w:left="2640" w:hanging="440"/>
      </w:pPr>
      <w:rPr>
        <w:rFonts w:hint="default" w:ascii="Wingdings" w:hAnsi="Wingdings"/>
      </w:rPr>
    </w:lvl>
    <w:lvl w:ilvl="6" w:tplc="FFFFFFFF">
      <w:numFmt w:val="bullet"/>
      <w:lvlText w:val=""/>
      <w:lvlJc w:val="left"/>
      <w:pPr>
        <w:ind w:left="3080" w:hanging="440"/>
      </w:pPr>
      <w:rPr>
        <w:rFonts w:hint="default" w:ascii="Wingdings" w:hAnsi="Wingdings"/>
      </w:rPr>
    </w:lvl>
    <w:lvl w:ilvl="7" w:tplc="FFFFFFFF">
      <w:numFmt w:val="bullet"/>
      <w:lvlText w:val=""/>
      <w:lvlJc w:val="left"/>
      <w:pPr>
        <w:ind w:left="3520" w:hanging="440"/>
      </w:pPr>
      <w:rPr>
        <w:rFonts w:hint="default" w:ascii="Wingdings" w:hAnsi="Wingdings"/>
      </w:rPr>
    </w:lvl>
    <w:lvl w:ilvl="8" w:tplc="FFFFFFFF">
      <w:numFmt w:val="bullet"/>
      <w:lvlText w:val=""/>
      <w:lvlJc w:val="left"/>
      <w:pPr>
        <w:ind w:left="3960" w:hanging="44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efaultTableStyle w:val="44"/>
  <w:drawingGridHorizontalSpacing w:val="210"/>
  <w:drawingGridVerticalSpacing w:val="34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paragraph" w:styleId="1">
    <w:name w:val="heading 1"/>
    <w:basedOn w:val="0"/>
    <w:next w:val="0"/>
    <w:link w:val="30"/>
    <w:uiPriority w:val="0"/>
    <w:qFormat/>
    <w:pPr>
      <w:keepNext w:val="1"/>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both"/>
      <w:outlineLvl w:val="0"/>
      <w15:collapsed w:val="0"/>
    </w:pPr>
    <w:rPr>
      <w:rFonts w:asciiTheme="majorHAnsi" w:hAnsiTheme="majorHAnsi" w:eastAsiaTheme="majorEastAsia"/>
      <w:dstrike w:val="0"/>
      <w:color w:val="auto"/>
      <w:w w:val="100"/>
      <w:sz w:val="24"/>
      <w:highlight w:val="none"/>
      <w:u w:val="none" w:color="auto"/>
      <w:bdr w:val="none" w:color="auto" w:sz="0" w:space="0"/>
      <w:shd w:val="clear" w:color="auto" w:fill="auto"/>
      <w:vertAlign w:val="baseline"/>
      <w:em w:val="none"/>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0"/>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paragraph" w:styleId="28" w:customStyle="1">
    <w:name w:val="基本"/>
    <w:basedOn w:val="0"/>
    <w:next w:val="28"/>
    <w:link w:val="29"/>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both"/>
      <w:outlineLvl w:val="9"/>
    </w:pPr>
    <w:rPr>
      <w:rFonts w:ascii="ＭＳ ゴシック" w:hAnsi="ＭＳ ゴシック" w:eastAsia="ＭＳ ゴシック"/>
      <w:dstrike w:val="0"/>
      <w:color w:val="000000"/>
      <w:w w:val="100"/>
      <w:sz w:val="21"/>
      <w:highlight w:val="none"/>
      <w:u w:val="none" w:color="auto"/>
      <w:bdr w:val="none" w:color="auto" w:sz="0" w:space="0"/>
      <w:shd w:val="clear" w:color="auto" w:fill="auto"/>
      <w:vertAlign w:val="baseline"/>
      <w:em w:val="none"/>
    </w:rPr>
  </w:style>
  <w:style w:type="character" w:styleId="29" w:customStyle="1">
    <w:name w:val="基本 (文字)"/>
    <w:basedOn w:val="10"/>
    <w:next w:val="29"/>
    <w:link w:val="28"/>
    <w:uiPriority w:val="0"/>
    <w:rPr>
      <w:rFonts w:ascii="ＭＳ ゴシック" w:hAnsi="ＭＳ ゴシック" w:eastAsia="ＭＳ ゴシック"/>
      <w:color w:val="000000"/>
    </w:rPr>
  </w:style>
  <w:style w:type="character" w:styleId="30" w:customStyle="1">
    <w:name w:val="見出し 1 (文字)"/>
    <w:basedOn w:val="10"/>
    <w:next w:val="30"/>
    <w:link w:val="1"/>
    <w:uiPriority w:val="0"/>
    <w:rPr>
      <w:rFonts w:asciiTheme="majorHAnsi" w:hAnsiTheme="majorHAnsi" w:eastAsiaTheme="majorEastAsia"/>
      <w:sz w:val="24"/>
    </w:rPr>
  </w:style>
  <w:style w:type="paragraph" w:styleId="31" w:customStyle="1">
    <w:name w:val="(1)"/>
    <w:basedOn w:val="1"/>
    <w:next w:val="31"/>
    <w:link w:val="32"/>
    <w:uiPriority w:val="0"/>
    <w:qFormat/>
    <w:pPr>
      <w:spacing w:after="66" w:afterLines="20" w:afterAutospacing="0" w:line="440" w:lineRule="exact"/>
      <w:ind w:left="220" w:leftChars="100"/>
    </w:pPr>
    <w:rPr>
      <w:rFonts w:ascii="BIZ UDPゴシック" w:hAnsi="BIZ UDPゴシック" w:eastAsia="BIZ UDPゴシック"/>
      <w:b w:val="1"/>
      <w:sz w:val="28"/>
    </w:rPr>
  </w:style>
  <w:style w:type="character" w:styleId="32" w:customStyle="1">
    <w:name w:val="(1) (文字)"/>
    <w:basedOn w:val="30"/>
    <w:next w:val="32"/>
    <w:link w:val="31"/>
    <w:uiPriority w:val="0"/>
    <w:rPr>
      <w:rFonts w:ascii="BIZ UDPゴシック" w:hAnsi="BIZ UDPゴシック" w:eastAsia="BIZ UDPゴシック"/>
      <w:b w:val="1"/>
      <w:sz w:val="28"/>
    </w:rPr>
  </w:style>
  <w:style w:type="paragraph" w:styleId="33">
    <w:name w:val="List Paragraph"/>
    <w:basedOn w:val="0"/>
    <w:next w:val="33"/>
    <w:link w:val="34"/>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15:collapsed w:val="0"/>
    </w:pPr>
    <w:rPr>
      <w:rFonts w:ascii="HG丸ｺﾞｼｯｸM-PRO" w:hAnsi="HG丸ｺﾞｼｯｸM-PRO" w:eastAsia="HG丸ｺﾞｼｯｸM-PRO"/>
      <w:dstrike w:val="0"/>
      <w:color w:val="auto"/>
      <w:w w:val="100"/>
      <w:sz w:val="22"/>
      <w:highlight w:val="none"/>
      <w:u w:val="none" w:color="auto"/>
      <w:bdr w:val="none" w:color="auto" w:sz="0" w:space="0"/>
      <w:shd w:val="clear" w:color="auto" w:fill="auto"/>
      <w:vertAlign w:val="baseline"/>
      <w:em w:val="none"/>
    </w:rPr>
  </w:style>
  <w:style w:type="character" w:styleId="34" w:customStyle="1">
    <w:name w:val="リスト段落 (文字)"/>
    <w:next w:val="34"/>
    <w:link w:val="33"/>
    <w:uiPriority w:val="0"/>
    <w:rPr>
      <w:rFonts w:ascii="HG丸ｺﾞｼｯｸM-PRO" w:hAnsi="HG丸ｺﾞｼｯｸM-PRO" w:eastAsia="HG丸ｺﾞｼｯｸM-PRO"/>
      <w:sz w:val="22"/>
    </w:rPr>
  </w:style>
  <w:style w:type="paragraph" w:styleId="35" w:customStyle="1">
    <w:name w:val="箇条書き3"/>
    <w:basedOn w:val="33"/>
    <w:next w:val="35"/>
    <w:link w:val="36"/>
    <w:uiPriority w:val="0"/>
    <w:qFormat/>
    <w:pPr>
      <w:numPr>
        <w:ilvl w:val="3"/>
        <w:numId w:val="1"/>
      </w:numPr>
      <w:autoSpaceDE w:val="0"/>
      <w:autoSpaceDN w:val="0"/>
      <w:spacing w:line="380" w:lineRule="exact"/>
      <w:ind w:left="1102" w:leftChars="300" w:hanging="442"/>
    </w:pPr>
    <w:rPr>
      <w:rFonts w:ascii="BIZ UDゴシック" w:hAnsi="BIZ UDゴシック" w:eastAsia="BIZ UDゴシック"/>
    </w:rPr>
  </w:style>
  <w:style w:type="character" w:styleId="36" w:customStyle="1">
    <w:name w:val="箇条書き3 (文字)"/>
    <w:basedOn w:val="34"/>
    <w:next w:val="36"/>
    <w:link w:val="35"/>
    <w:uiPriority w:val="0"/>
    <w:rPr>
      <w:rFonts w:ascii="BIZ UDゴシック" w:hAnsi="BIZ UDゴシック" w:eastAsia="BIZ UDゴシック"/>
      <w:sz w:val="22"/>
    </w:rPr>
  </w:style>
  <w:style w:type="paragraph" w:styleId="37" w:customStyle="1">
    <w:name w:val="箇条書き2"/>
    <w:basedOn w:val="35"/>
    <w:next w:val="37"/>
    <w:link w:val="38"/>
    <w:uiPriority w:val="0"/>
    <w:qFormat/>
    <w:pPr>
      <w:ind w:left="882" w:leftChars="200"/>
    </w:pPr>
  </w:style>
  <w:style w:type="character" w:styleId="38" w:customStyle="1">
    <w:name w:val="箇条書き2 (文字)"/>
    <w:basedOn w:val="36"/>
    <w:next w:val="38"/>
    <w:link w:val="37"/>
    <w:uiPriority w:val="0"/>
    <w:rPr>
      <w:rFonts w:ascii="BIZ UDゴシック" w:hAnsi="BIZ UDゴシック" w:eastAsia="BIZ UDゴシック"/>
      <w:sz w:val="22"/>
    </w:rPr>
  </w:style>
  <w:style w:type="character" w:styleId="39" w:customStyle="1">
    <w:name w:val="図表 (文字)"/>
    <w:basedOn w:val="10"/>
    <w:next w:val="39"/>
    <w:link w:val="19"/>
    <w:uiPriority w:val="0"/>
    <w:rPr>
      <w:rFonts w:ascii="BIZ UDPゴシック" w:hAnsi="BIZ UDPゴシック" w:eastAsia="BIZ UDPゴシック"/>
      <w:color w:val="000000" w:themeColor="text1"/>
    </w:rPr>
  </w:style>
  <w:style w:type="character" w:styleId="40" w:customStyle="1">
    <w:name w:val="font11"/>
    <w:basedOn w:val="10"/>
    <w:next w:val="40"/>
    <w:link w:val="0"/>
    <w:uiPriority w:val="0"/>
    <w:qFormat/>
    <w:rPr>
      <w:rFonts w:ascii="HG丸ｺﾞｼｯｸM-PRO" w:hAnsi="HG丸ｺﾞｼｯｸM-PRO" w:eastAsia="HG丸ｺﾞｼｯｸM-PRO"/>
      <w:sz w:val="16"/>
    </w:rPr>
  </w:style>
  <w:style w:type="character" w:styleId="41" w:customStyle="1">
    <w:name w:val="font12"/>
    <w:basedOn w:val="10"/>
    <w:next w:val="41"/>
    <w:link w:val="0"/>
    <w:uiPriority w:val="0"/>
    <w:qFormat/>
    <w:rPr>
      <w:rFonts w:ascii="ＭＳ ゴシック" w:hAnsi="ＭＳ ゴシック" w:eastAsia="ＭＳ ゴシック"/>
      <w:sz w:val="22"/>
    </w:rPr>
  </w:style>
  <w:style w:type="table" w:styleId="42">
    <w:name w:val="Table Grid"/>
    <w:basedOn w:val="11"/>
    <w:next w:val="4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3" w:customStyle="1">
    <w:name w:val="人件費1"/>
    <w:basedOn w:val="11"/>
    <w:next w:val="4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4" w:customStyle="1">
    <w:name w:val="表（シンプル 1）"/>
    <w:basedOn w:val="11"/>
    <w:next w:val="44"/>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footer" Target="footer3.xml" /><Relationship Id="rId10" Type="http://schemas.openxmlformats.org/officeDocument/2006/relationships/image" Target="media/image1.png" /><Relationship Id="rId11"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1854</TotalTime>
  <Pages>12</Pages>
  <Words>1062</Words>
  <Characters>10242</Characters>
  <Application>JUST Note</Application>
  <Lines>34121</Lines>
  <Paragraphs>1078</Paragraphs>
  <CharactersWithSpaces>10468</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令和４年度地域密着型サービス整備事業者募集要項（ＧＨ）</dc:title>
  <dc:creator>廿日市市</dc:creator>
  <cp:lastModifiedBy>Saitou Yuichi</cp:lastModifiedBy>
  <cp:lastPrinted>2026-01-20T02:45:41Z</cp:lastPrinted>
  <dcterms:created xsi:type="dcterms:W3CDTF">2019-12-01T23:56:00Z</dcterms:created>
  <dcterms:modified xsi:type="dcterms:W3CDTF">2026-01-20T04:30:09Z</dcterms:modified>
  <cp:revision>82</cp:revision>
</cp:coreProperties>
</file>